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37B34" w14:textId="77777777" w:rsidR="00EF69F4" w:rsidRDefault="00047765">
      <w:pPr>
        <w:jc w:val="center"/>
        <w:rPr>
          <w:rFonts w:ascii="Bookman Old Style" w:hAnsi="Bookman Old Style"/>
          <w:b/>
          <w:sz w:val="24"/>
          <w:szCs w:val="28"/>
        </w:rPr>
      </w:pPr>
      <w:r>
        <w:rPr>
          <w:rFonts w:ascii="Bookman Old Style" w:hAnsi="Bookman Old Style"/>
          <w:b/>
          <w:sz w:val="24"/>
          <w:szCs w:val="28"/>
        </w:rPr>
        <w:t>6.1. SIGNIFICANT ACCOUNTING POLICIES FORMING PART OF THE FINANCIAL STATEMENTS FOR THE YEAR ENDED MARCH 31</w:t>
      </w:r>
      <w:r>
        <w:rPr>
          <w:rFonts w:ascii="Bookman Old Style" w:hAnsi="Bookman Old Style"/>
          <w:b/>
          <w:sz w:val="24"/>
          <w:szCs w:val="28"/>
          <w:vertAlign w:val="superscript"/>
        </w:rPr>
        <w:t>st</w:t>
      </w:r>
      <w:r w:rsidR="00A75298">
        <w:rPr>
          <w:rFonts w:ascii="Bookman Old Style" w:hAnsi="Bookman Old Style"/>
          <w:b/>
          <w:sz w:val="24"/>
          <w:szCs w:val="28"/>
        </w:rPr>
        <w:t>202</w:t>
      </w:r>
      <w:r w:rsidR="00873F90">
        <w:rPr>
          <w:rFonts w:ascii="Bookman Old Style" w:hAnsi="Bookman Old Style"/>
          <w:b/>
          <w:sz w:val="24"/>
          <w:szCs w:val="28"/>
        </w:rPr>
        <w:t>2</w:t>
      </w:r>
    </w:p>
    <w:p w14:paraId="3A5A5681" w14:textId="77777777" w:rsidR="00EF69F4" w:rsidRDefault="00EF69F4">
      <w:pPr>
        <w:jc w:val="center"/>
        <w:rPr>
          <w:rFonts w:ascii="Bookman Old Style" w:hAnsi="Bookman Old Style" w:cs="Times New Roman"/>
          <w:b/>
          <w:sz w:val="24"/>
          <w:szCs w:val="28"/>
        </w:rPr>
      </w:pPr>
    </w:p>
    <w:p w14:paraId="36B559D2" w14:textId="77777777" w:rsidR="00EF69F4" w:rsidRDefault="00047765">
      <w:pPr>
        <w:ind w:left="360" w:hanging="360"/>
        <w:jc w:val="both"/>
        <w:rPr>
          <w:rFonts w:ascii="Bookman Old Style" w:hAnsi="Bookman Old Style"/>
          <w:b/>
          <w:sz w:val="24"/>
          <w:szCs w:val="28"/>
        </w:rPr>
      </w:pPr>
      <w:r>
        <w:rPr>
          <w:rFonts w:ascii="Bookman Old Style" w:hAnsi="Bookman Old Style"/>
          <w:b/>
          <w:sz w:val="24"/>
          <w:szCs w:val="28"/>
        </w:rPr>
        <w:t>6.1.1</w:t>
      </w:r>
      <w:r>
        <w:rPr>
          <w:rFonts w:ascii="Bookman Old Style" w:hAnsi="Bookman Old Style"/>
          <w:b/>
          <w:sz w:val="24"/>
          <w:szCs w:val="28"/>
          <w:u w:val="single"/>
        </w:rPr>
        <w:t>Background and Basis of the Financial Statements</w:t>
      </w:r>
    </w:p>
    <w:p w14:paraId="6643A7A7" w14:textId="77777777" w:rsidR="00EF69F4" w:rsidRDefault="00047765">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Electricity Department of Thrissur Corporation (TCED) is a part of the Thrissur Corporation which is a Local Authority, TCED is responsible for distribution and supply of electricity to all the classes of consumers within the municipal (geographical) limits of old Trichur Municipality. TCED is governed by the Electricity Act 2003, as a deemed licensee.</w:t>
      </w:r>
    </w:p>
    <w:p w14:paraId="4C838DC1" w14:textId="77777777" w:rsidR="00EF69F4" w:rsidRDefault="00EF69F4">
      <w:pPr>
        <w:pStyle w:val="ListParagraph"/>
        <w:ind w:left="1117"/>
        <w:jc w:val="both"/>
        <w:rPr>
          <w:rFonts w:ascii="Bookman Old Style" w:hAnsi="Bookman Old Style" w:cs="Times New Roman"/>
          <w:sz w:val="24"/>
          <w:szCs w:val="28"/>
        </w:rPr>
      </w:pPr>
    </w:p>
    <w:p w14:paraId="6DE20804" w14:textId="77777777" w:rsidR="00EF69F4" w:rsidRDefault="00047765">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The Financial Statements have been prepared using the formats generally followed by corporate bodies in India. The formats have been suitably modified based on the extent of information available with the TCED. It should be noted that the TCED is not a Company incorporated under the Companies Act, and therefore is not required to adopt the Schedule III Format.</w:t>
      </w:r>
    </w:p>
    <w:p w14:paraId="135A78AB" w14:textId="77777777" w:rsidR="00EF69F4" w:rsidRDefault="00EF69F4">
      <w:pPr>
        <w:pStyle w:val="ListParagraph"/>
        <w:rPr>
          <w:rFonts w:ascii="Bookman Old Style" w:hAnsi="Bookman Old Style" w:cs="Times New Roman"/>
          <w:sz w:val="24"/>
          <w:szCs w:val="28"/>
        </w:rPr>
      </w:pPr>
    </w:p>
    <w:p w14:paraId="10D3EB4D" w14:textId="77777777" w:rsidR="00EF69F4" w:rsidRDefault="00EF69F4">
      <w:pPr>
        <w:pStyle w:val="ListParagraph"/>
        <w:ind w:left="1117"/>
        <w:jc w:val="both"/>
        <w:rPr>
          <w:rFonts w:ascii="Bookman Old Style" w:hAnsi="Bookman Old Style" w:cs="Times New Roman"/>
          <w:sz w:val="24"/>
          <w:szCs w:val="28"/>
        </w:rPr>
      </w:pPr>
    </w:p>
    <w:p w14:paraId="2CF69EC6" w14:textId="77777777" w:rsidR="00EF69F4" w:rsidRDefault="00047765">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The Financial Statements for True up Petition have been prepared for the purpose of complying with the KSERC’s directives and should be read and interpreted in that context.</w:t>
      </w:r>
    </w:p>
    <w:p w14:paraId="0C35D572" w14:textId="77777777" w:rsidR="00EF69F4" w:rsidRDefault="00EF69F4">
      <w:pPr>
        <w:pStyle w:val="ListParagraph"/>
        <w:ind w:left="1117"/>
        <w:jc w:val="both"/>
        <w:rPr>
          <w:rFonts w:ascii="Bookman Old Style" w:hAnsi="Bookman Old Style" w:cs="Times New Roman"/>
          <w:sz w:val="24"/>
          <w:szCs w:val="28"/>
        </w:rPr>
      </w:pPr>
    </w:p>
    <w:p w14:paraId="084A1CC8" w14:textId="77777777" w:rsidR="00EF69F4" w:rsidRDefault="00047765">
      <w:pPr>
        <w:ind w:left="720" w:hanging="720"/>
        <w:jc w:val="both"/>
        <w:rPr>
          <w:rFonts w:ascii="Bookman Old Style" w:hAnsi="Bookman Old Style" w:cs="Times New Roman"/>
          <w:sz w:val="24"/>
          <w:szCs w:val="28"/>
        </w:rPr>
      </w:pPr>
      <w:r>
        <w:rPr>
          <w:rFonts w:ascii="Bookman Old Style" w:hAnsi="Bookman Old Style" w:cs="Times New Roman"/>
          <w:b/>
          <w:sz w:val="24"/>
          <w:szCs w:val="28"/>
        </w:rPr>
        <w:t>6.1.2</w:t>
      </w:r>
      <w:r>
        <w:rPr>
          <w:rFonts w:ascii="Bookman Old Style" w:hAnsi="Bookman Old Style" w:cs="Times New Roman"/>
          <w:b/>
          <w:i/>
          <w:sz w:val="24"/>
          <w:szCs w:val="28"/>
          <w:u w:val="single"/>
        </w:rPr>
        <w:t>Opening Balances</w:t>
      </w:r>
      <w:r>
        <w:rPr>
          <w:rFonts w:ascii="Bookman Old Style" w:hAnsi="Bookman Old Style" w:cs="Times New Roman"/>
          <w:sz w:val="24"/>
          <w:szCs w:val="28"/>
        </w:rPr>
        <w:t xml:space="preserve">: - The Opening Balances of Balance Sheet are primarily based on the accounts for financial year </w:t>
      </w:r>
      <w:r w:rsidR="00873F90">
        <w:rPr>
          <w:rFonts w:ascii="Bookman Old Style" w:hAnsi="Bookman Old Style" w:cs="Times New Roman"/>
          <w:sz w:val="24"/>
          <w:szCs w:val="28"/>
        </w:rPr>
        <w:t>2020-21</w:t>
      </w:r>
      <w:r w:rsidR="00A75298">
        <w:rPr>
          <w:rFonts w:ascii="Bookman Old Style" w:hAnsi="Bookman Old Style" w:cs="Times New Roman"/>
          <w:sz w:val="24"/>
          <w:szCs w:val="28"/>
        </w:rPr>
        <w:t xml:space="preserve"> </w:t>
      </w:r>
      <w:r>
        <w:rPr>
          <w:rFonts w:ascii="Bookman Old Style" w:hAnsi="Bookman Old Style" w:cs="Times New Roman"/>
          <w:sz w:val="24"/>
          <w:szCs w:val="28"/>
        </w:rPr>
        <w:t>which were submitted to KSERC for the True up Petition and the changes made as per the Directions of Honorable Commission to comply with the KSERC Tariff Regulations, 2014.</w:t>
      </w:r>
    </w:p>
    <w:p w14:paraId="1E3ED822" w14:textId="77777777" w:rsidR="00EF69F4" w:rsidRDefault="00EF69F4">
      <w:pPr>
        <w:ind w:left="720" w:hanging="720"/>
        <w:jc w:val="both"/>
        <w:rPr>
          <w:rFonts w:ascii="Bookman Old Style" w:hAnsi="Bookman Old Style" w:cs="Times New Roman"/>
          <w:sz w:val="24"/>
          <w:szCs w:val="28"/>
        </w:rPr>
      </w:pPr>
    </w:p>
    <w:p w14:paraId="6BF66205" w14:textId="77777777" w:rsidR="00EF69F4" w:rsidRDefault="00047765">
      <w:pPr>
        <w:ind w:left="720" w:hanging="720"/>
        <w:jc w:val="both"/>
        <w:rPr>
          <w:rFonts w:ascii="Bookman Old Style" w:hAnsi="Bookman Old Style" w:cs="Times New Roman"/>
          <w:sz w:val="24"/>
          <w:szCs w:val="28"/>
        </w:rPr>
      </w:pPr>
      <w:r>
        <w:rPr>
          <w:rFonts w:ascii="Bookman Old Style" w:hAnsi="Bookman Old Style" w:cs="Times New Roman"/>
          <w:b/>
          <w:sz w:val="24"/>
          <w:szCs w:val="28"/>
        </w:rPr>
        <w:t>6.1.3</w:t>
      </w:r>
      <w:r>
        <w:rPr>
          <w:rFonts w:ascii="Bookman Old Style" w:hAnsi="Bookman Old Style" w:cs="Times New Roman"/>
          <w:b/>
          <w:i/>
          <w:sz w:val="24"/>
          <w:szCs w:val="28"/>
          <w:u w:val="single"/>
        </w:rPr>
        <w:t>Transaction for the Year</w:t>
      </w:r>
      <w:r>
        <w:rPr>
          <w:rFonts w:ascii="Bookman Old Style" w:hAnsi="Bookman Old Style" w:cs="Times New Roman"/>
          <w:sz w:val="24"/>
          <w:szCs w:val="28"/>
        </w:rPr>
        <w:t>: - The accounting system is computerized and the accounts are maintained in the Tally ERP 9.So the accounts and the entries in the Tally forms the basis for the preparation of Financial Statements</w:t>
      </w:r>
    </w:p>
    <w:p w14:paraId="661B5991" w14:textId="77777777" w:rsidR="00EF69F4" w:rsidRDefault="00EF69F4">
      <w:pPr>
        <w:ind w:left="720" w:hanging="720"/>
        <w:jc w:val="both"/>
        <w:rPr>
          <w:rFonts w:ascii="Bookman Old Style" w:hAnsi="Bookman Old Style" w:cstheme="minorHAnsi"/>
          <w:sz w:val="24"/>
          <w:szCs w:val="28"/>
        </w:rPr>
      </w:pPr>
    </w:p>
    <w:p w14:paraId="42480457" w14:textId="77777777" w:rsidR="00EF69F4" w:rsidRDefault="00EF69F4">
      <w:pPr>
        <w:jc w:val="both"/>
        <w:rPr>
          <w:rFonts w:ascii="Bookman Old Style" w:hAnsi="Bookman Old Style" w:cstheme="minorHAnsi"/>
          <w:sz w:val="24"/>
          <w:szCs w:val="28"/>
        </w:rPr>
      </w:pPr>
    </w:p>
    <w:p w14:paraId="5FDB5053" w14:textId="77777777" w:rsidR="00EF69F4" w:rsidRDefault="00047765">
      <w:pPr>
        <w:ind w:left="360" w:hanging="360"/>
        <w:jc w:val="both"/>
        <w:rPr>
          <w:rFonts w:ascii="Bookman Old Style" w:hAnsi="Bookman Old Style"/>
          <w:b/>
          <w:sz w:val="24"/>
          <w:szCs w:val="28"/>
        </w:rPr>
      </w:pPr>
      <w:r>
        <w:rPr>
          <w:rFonts w:ascii="Bookman Old Style" w:hAnsi="Bookman Old Style"/>
          <w:b/>
          <w:sz w:val="24"/>
          <w:szCs w:val="28"/>
        </w:rPr>
        <w:lastRenderedPageBreak/>
        <w:t xml:space="preserve">6.1.4 </w:t>
      </w:r>
      <w:r w:rsidRPr="00F743AE">
        <w:rPr>
          <w:rFonts w:ascii="Bookman Old Style" w:hAnsi="Bookman Old Style"/>
          <w:b/>
          <w:sz w:val="24"/>
          <w:szCs w:val="28"/>
          <w:u w:val="single"/>
        </w:rPr>
        <w:t>Revenue</w:t>
      </w:r>
      <w:r>
        <w:rPr>
          <w:rFonts w:ascii="Bookman Old Style" w:hAnsi="Bookman Old Style"/>
          <w:b/>
          <w:sz w:val="24"/>
          <w:szCs w:val="28"/>
          <w:u w:val="single"/>
        </w:rPr>
        <w:t xml:space="preserve"> Recognition</w:t>
      </w:r>
    </w:p>
    <w:p w14:paraId="7BA56E5E" w14:textId="77777777" w:rsidR="00EF69F4" w:rsidRDefault="00047765">
      <w:pPr>
        <w:ind w:left="720" w:hanging="720"/>
        <w:jc w:val="both"/>
        <w:rPr>
          <w:rFonts w:ascii="Bookman Old Style" w:hAnsi="Bookman Old Style" w:cs="Times New Roman"/>
          <w:b/>
          <w:i/>
          <w:sz w:val="24"/>
          <w:szCs w:val="28"/>
        </w:rPr>
      </w:pPr>
      <w:r>
        <w:rPr>
          <w:rFonts w:ascii="Bookman Old Style" w:hAnsi="Bookman Old Style" w:cs="Times New Roman"/>
          <w:b/>
          <w:i/>
          <w:sz w:val="24"/>
          <w:szCs w:val="28"/>
        </w:rPr>
        <w:t>(i) Revenue from Sale of Power</w:t>
      </w:r>
    </w:p>
    <w:p w14:paraId="148813C6" w14:textId="77777777" w:rsidR="00EF69F4" w:rsidRDefault="00047765">
      <w:pPr>
        <w:tabs>
          <w:tab w:val="left" w:pos="1440"/>
        </w:tabs>
        <w:ind w:left="1440" w:hanging="360"/>
        <w:jc w:val="both"/>
        <w:rPr>
          <w:rFonts w:ascii="Bookman Old Style" w:hAnsi="Bookman Old Style" w:cs="Times New Roman"/>
          <w:sz w:val="24"/>
          <w:szCs w:val="28"/>
        </w:rPr>
      </w:pPr>
      <w:r>
        <w:rPr>
          <w:rFonts w:ascii="Bookman Old Style" w:hAnsi="Bookman Old Style" w:cs="Times New Roman"/>
          <w:sz w:val="24"/>
          <w:szCs w:val="28"/>
        </w:rPr>
        <w:t>a. Revenue from Sale of Power is as per the tariff fixed by the concerned authority.</w:t>
      </w:r>
    </w:p>
    <w:p w14:paraId="436B3DB7" w14:textId="77777777" w:rsidR="00EF69F4" w:rsidRDefault="00047765">
      <w:pPr>
        <w:tabs>
          <w:tab w:val="left" w:pos="1440"/>
        </w:tabs>
        <w:ind w:left="1440" w:hanging="360"/>
        <w:jc w:val="both"/>
        <w:rPr>
          <w:rFonts w:ascii="Bookman Old Style" w:hAnsi="Bookman Old Style" w:cs="Times New Roman"/>
          <w:sz w:val="24"/>
          <w:szCs w:val="28"/>
        </w:rPr>
      </w:pPr>
      <w:r>
        <w:rPr>
          <w:rFonts w:ascii="Bookman Old Style" w:hAnsi="Bookman Old Style" w:cs="Times New Roman"/>
          <w:sz w:val="24"/>
          <w:szCs w:val="28"/>
        </w:rPr>
        <w:t>b. Revenue from Sale of Power is accounted for on the basis of demand bills raised on the consumers of the TCED.</w:t>
      </w:r>
    </w:p>
    <w:p w14:paraId="042B6475" w14:textId="77777777" w:rsidR="00EF69F4" w:rsidRDefault="00047765">
      <w:pPr>
        <w:tabs>
          <w:tab w:val="left" w:pos="1440"/>
        </w:tabs>
        <w:ind w:left="1440" w:hanging="360"/>
        <w:jc w:val="both"/>
        <w:rPr>
          <w:rFonts w:ascii="Bookman Old Style" w:hAnsi="Bookman Old Style" w:cs="Times New Roman"/>
          <w:sz w:val="24"/>
          <w:szCs w:val="28"/>
        </w:rPr>
      </w:pPr>
      <w:r>
        <w:rPr>
          <w:rFonts w:ascii="Bookman Old Style" w:hAnsi="Bookman Old Style" w:cs="Times New Roman"/>
          <w:sz w:val="24"/>
          <w:szCs w:val="28"/>
        </w:rPr>
        <w:t>c. Revenue from Sale of Power is recognized net of duties and payables to the concerned authorities.</w:t>
      </w:r>
    </w:p>
    <w:p w14:paraId="0FB9A137" w14:textId="77777777" w:rsidR="00EF69F4" w:rsidRDefault="00047765">
      <w:pPr>
        <w:ind w:left="720" w:hanging="720"/>
        <w:jc w:val="both"/>
        <w:rPr>
          <w:rFonts w:ascii="Bookman Old Style" w:hAnsi="Bookman Old Style" w:cs="Times New Roman"/>
          <w:sz w:val="24"/>
          <w:szCs w:val="28"/>
        </w:rPr>
      </w:pPr>
      <w:r>
        <w:rPr>
          <w:rFonts w:ascii="Bookman Old Style" w:hAnsi="Bookman Old Style" w:cs="Times New Roman"/>
          <w:b/>
          <w:i/>
          <w:sz w:val="24"/>
          <w:szCs w:val="28"/>
        </w:rPr>
        <w:t>(ii)</w:t>
      </w:r>
      <w:r>
        <w:rPr>
          <w:rFonts w:ascii="Bookman Old Style" w:hAnsi="Bookman Old Style" w:cs="Times New Roman"/>
          <w:b/>
          <w:i/>
          <w:sz w:val="24"/>
          <w:szCs w:val="28"/>
        </w:rPr>
        <w:tab/>
        <w:t>Interest Income on investment, Income from rent on poles, Penal Interest (late payment charge) received from consumers and Other Charges received from customers (like Application charge)</w:t>
      </w:r>
      <w:r>
        <w:rPr>
          <w:rFonts w:ascii="Bookman Old Style" w:hAnsi="Bookman Old Style" w:cs="Times New Roman"/>
          <w:sz w:val="24"/>
          <w:szCs w:val="28"/>
        </w:rPr>
        <w:t xml:space="preserve"> are accounted for on accrual basis.</w:t>
      </w:r>
    </w:p>
    <w:p w14:paraId="5F6A841C" w14:textId="77777777" w:rsidR="00EF69F4" w:rsidRDefault="00047765">
      <w:pPr>
        <w:jc w:val="both"/>
        <w:rPr>
          <w:rFonts w:ascii="Bookman Old Style" w:hAnsi="Bookman Old Style"/>
          <w:b/>
          <w:sz w:val="24"/>
          <w:szCs w:val="28"/>
        </w:rPr>
      </w:pPr>
      <w:r>
        <w:rPr>
          <w:rFonts w:ascii="Bookman Old Style" w:hAnsi="Bookman Old Style"/>
          <w:b/>
          <w:sz w:val="24"/>
          <w:szCs w:val="28"/>
        </w:rPr>
        <w:t xml:space="preserve">6.1.5 </w:t>
      </w:r>
      <w:r>
        <w:rPr>
          <w:rFonts w:ascii="Bookman Old Style" w:hAnsi="Bookman Old Style"/>
          <w:b/>
          <w:sz w:val="24"/>
          <w:szCs w:val="28"/>
          <w:u w:val="single"/>
        </w:rPr>
        <w:t>Consumer Contribution</w:t>
      </w:r>
    </w:p>
    <w:p w14:paraId="145B0ACE" w14:textId="77777777" w:rsidR="00EF69F4" w:rsidRDefault="00047765">
      <w:pPr>
        <w:jc w:val="both"/>
        <w:rPr>
          <w:rFonts w:ascii="Bookman Old Style" w:hAnsi="Bookman Old Style" w:cs="Times New Roman"/>
          <w:sz w:val="24"/>
          <w:szCs w:val="28"/>
        </w:rPr>
      </w:pPr>
      <w:r>
        <w:rPr>
          <w:rFonts w:ascii="Bookman Old Style" w:hAnsi="Bookman Old Style" w:cs="Times New Roman"/>
          <w:sz w:val="24"/>
          <w:szCs w:val="28"/>
        </w:rPr>
        <w:t>Contribution received from consumers towards capital works, service connection and other purpose is accounted for in the following manner:-</w:t>
      </w:r>
    </w:p>
    <w:p w14:paraId="03BA3225" w14:textId="77777777" w:rsidR="00EF69F4" w:rsidRDefault="00047765">
      <w:pPr>
        <w:pStyle w:val="ListParagraph"/>
        <w:numPr>
          <w:ilvl w:val="0"/>
          <w:numId w:val="2"/>
        </w:numPr>
        <w:jc w:val="both"/>
        <w:rPr>
          <w:rFonts w:ascii="Bookman Old Style" w:hAnsi="Bookman Old Style" w:cs="Times New Roman"/>
          <w:sz w:val="24"/>
          <w:szCs w:val="28"/>
        </w:rPr>
      </w:pPr>
      <w:r>
        <w:rPr>
          <w:rFonts w:ascii="Bookman Old Style" w:hAnsi="Bookman Old Style" w:cs="Times New Roman"/>
          <w:b/>
          <w:i/>
          <w:sz w:val="24"/>
          <w:szCs w:val="28"/>
        </w:rPr>
        <w:t xml:space="preserve">Consumer Contribution for Service Connection </w:t>
      </w:r>
      <w:r>
        <w:rPr>
          <w:rFonts w:ascii="Bookman Old Style" w:hAnsi="Bookman Old Style" w:cs="Times New Roman"/>
          <w:sz w:val="24"/>
          <w:szCs w:val="28"/>
        </w:rPr>
        <w:t xml:space="preserve">–The amount of Consumer Contribution which is attributable to items used for new service connection is netted off against the material issued for such items. </w:t>
      </w:r>
    </w:p>
    <w:p w14:paraId="1922567D" w14:textId="77777777" w:rsidR="00EF69F4" w:rsidRDefault="00047765">
      <w:pPr>
        <w:pStyle w:val="ListParagraph"/>
        <w:numPr>
          <w:ilvl w:val="0"/>
          <w:numId w:val="2"/>
        </w:numPr>
        <w:jc w:val="both"/>
        <w:rPr>
          <w:rFonts w:ascii="Bookman Old Style" w:hAnsi="Bookman Old Style" w:cs="Times New Roman"/>
          <w:sz w:val="24"/>
          <w:szCs w:val="28"/>
        </w:rPr>
      </w:pPr>
      <w:r>
        <w:rPr>
          <w:rFonts w:ascii="Bookman Old Style" w:hAnsi="Bookman Old Style" w:cs="Times New Roman"/>
          <w:b/>
          <w:i/>
          <w:sz w:val="24"/>
          <w:szCs w:val="28"/>
        </w:rPr>
        <w:t>Consumer Contribution for Capital Assets</w:t>
      </w:r>
      <w:r>
        <w:rPr>
          <w:rFonts w:ascii="Bookman Old Style" w:hAnsi="Bookman Old Style" w:cs="Times New Roman"/>
          <w:sz w:val="24"/>
          <w:szCs w:val="28"/>
        </w:rPr>
        <w:t xml:space="preserve"> – Amount of Consumer Contribution received for Capital Assets where identifiable remains as liability in the books and assets so created correspondingly is present in Gross Fixed Assets as Consumer Contributed Fixed Assets. No Depreciation has been claimed on Assets financed out of Consumer Contribution.</w:t>
      </w:r>
    </w:p>
    <w:p w14:paraId="555CB0DB" w14:textId="77777777" w:rsidR="00EF69F4" w:rsidRDefault="00047765">
      <w:pPr>
        <w:pStyle w:val="ListParagraph"/>
        <w:numPr>
          <w:ilvl w:val="0"/>
          <w:numId w:val="2"/>
        </w:numPr>
        <w:jc w:val="both"/>
        <w:rPr>
          <w:rFonts w:ascii="Bookman Old Style" w:hAnsi="Bookman Old Style" w:cs="Times New Roman"/>
          <w:sz w:val="24"/>
          <w:szCs w:val="28"/>
        </w:rPr>
      </w:pPr>
      <w:r>
        <w:rPr>
          <w:rFonts w:ascii="Bookman Old Style" w:hAnsi="Bookman Old Style" w:cs="Times New Roman"/>
          <w:b/>
          <w:i/>
          <w:sz w:val="24"/>
          <w:szCs w:val="28"/>
        </w:rPr>
        <w:t>Other Consumer Contribution</w:t>
      </w:r>
      <w:r>
        <w:rPr>
          <w:rFonts w:ascii="Bookman Old Style" w:hAnsi="Bookman Old Style" w:cs="Times New Roman"/>
          <w:sz w:val="24"/>
          <w:szCs w:val="28"/>
        </w:rPr>
        <w:t xml:space="preserve"> – Amount of Consumer Contribution which cannot be directly attributed to Capital Expenditure has been set off against the expenses for which it has been received namely employee cost and repairs and maintenance.</w:t>
      </w:r>
    </w:p>
    <w:p w14:paraId="5FF9AB48" w14:textId="77777777" w:rsidR="00EF69F4" w:rsidRDefault="00EF69F4">
      <w:pPr>
        <w:jc w:val="both"/>
        <w:rPr>
          <w:rFonts w:ascii="Bookman Old Style" w:hAnsi="Bookman Old Style" w:cs="Times New Roman"/>
          <w:sz w:val="24"/>
          <w:szCs w:val="28"/>
        </w:rPr>
      </w:pPr>
    </w:p>
    <w:p w14:paraId="082CCE50" w14:textId="77777777" w:rsidR="00EF69F4" w:rsidRDefault="00EF69F4">
      <w:pPr>
        <w:jc w:val="both"/>
        <w:rPr>
          <w:rFonts w:ascii="Bookman Old Style" w:hAnsi="Bookman Old Style" w:cs="Times New Roman"/>
          <w:sz w:val="24"/>
          <w:szCs w:val="28"/>
        </w:rPr>
      </w:pPr>
    </w:p>
    <w:p w14:paraId="39F38EC8" w14:textId="77777777" w:rsidR="00EF69F4" w:rsidRDefault="00EF69F4">
      <w:pPr>
        <w:jc w:val="both"/>
        <w:rPr>
          <w:rFonts w:ascii="Bookman Old Style" w:hAnsi="Bookman Old Style" w:cs="Times New Roman"/>
          <w:sz w:val="24"/>
          <w:szCs w:val="28"/>
        </w:rPr>
      </w:pPr>
    </w:p>
    <w:p w14:paraId="4FB95F94" w14:textId="77777777" w:rsidR="00EF69F4" w:rsidRDefault="00EF69F4">
      <w:pPr>
        <w:pStyle w:val="ListParagraph"/>
        <w:ind w:left="1320"/>
        <w:jc w:val="both"/>
        <w:rPr>
          <w:rFonts w:ascii="Bookman Old Style" w:hAnsi="Bookman Old Style" w:cs="Times New Roman"/>
          <w:sz w:val="24"/>
          <w:szCs w:val="28"/>
        </w:rPr>
      </w:pPr>
    </w:p>
    <w:p w14:paraId="15949134" w14:textId="77777777" w:rsidR="00EF69F4" w:rsidRDefault="00047765">
      <w:pPr>
        <w:tabs>
          <w:tab w:val="left" w:pos="720"/>
        </w:tabs>
        <w:ind w:left="360" w:hanging="360"/>
        <w:jc w:val="both"/>
        <w:rPr>
          <w:rFonts w:ascii="Bookman Old Style" w:hAnsi="Bookman Old Style"/>
          <w:b/>
          <w:sz w:val="24"/>
          <w:szCs w:val="28"/>
        </w:rPr>
      </w:pPr>
      <w:r>
        <w:rPr>
          <w:rFonts w:ascii="Bookman Old Style" w:hAnsi="Bookman Old Style"/>
          <w:b/>
          <w:sz w:val="24"/>
          <w:szCs w:val="28"/>
        </w:rPr>
        <w:t xml:space="preserve">6.1.6 </w:t>
      </w:r>
      <w:r>
        <w:rPr>
          <w:rFonts w:ascii="Bookman Old Style" w:hAnsi="Bookman Old Style"/>
          <w:b/>
          <w:sz w:val="24"/>
          <w:szCs w:val="28"/>
          <w:u w:val="single"/>
        </w:rPr>
        <w:t>Fixed Assets</w:t>
      </w:r>
    </w:p>
    <w:p w14:paraId="7F932299" w14:textId="77777777" w:rsidR="00EF69F4" w:rsidRDefault="00047765">
      <w:pPr>
        <w:jc w:val="both"/>
        <w:rPr>
          <w:rFonts w:ascii="Bookman Old Style" w:hAnsi="Bookman Old Style" w:cs="Times New Roman"/>
          <w:b/>
          <w:i/>
          <w:sz w:val="24"/>
          <w:szCs w:val="28"/>
        </w:rPr>
      </w:pPr>
      <w:r>
        <w:rPr>
          <w:rFonts w:ascii="Bookman Old Style" w:hAnsi="Bookman Old Style" w:cs="Times New Roman"/>
          <w:b/>
          <w:i/>
          <w:sz w:val="24"/>
          <w:szCs w:val="28"/>
        </w:rPr>
        <w:t xml:space="preserve">(i) Accounting Policies relating to Cost of Acquisition </w:t>
      </w:r>
    </w:p>
    <w:p w14:paraId="4AA335F3" w14:textId="77777777" w:rsidR="00EF69F4" w:rsidRDefault="00047765">
      <w:pPr>
        <w:tabs>
          <w:tab w:val="left" w:pos="810"/>
        </w:tabs>
        <w:ind w:left="1080" w:hanging="990"/>
        <w:jc w:val="both"/>
        <w:rPr>
          <w:rFonts w:ascii="Bookman Old Style" w:hAnsi="Bookman Old Style" w:cs="Times New Roman"/>
          <w:b/>
          <w:i/>
          <w:sz w:val="24"/>
          <w:szCs w:val="28"/>
        </w:rPr>
      </w:pPr>
      <w:r>
        <w:rPr>
          <w:rFonts w:ascii="Bookman Old Style" w:hAnsi="Bookman Old Style" w:cs="Times New Roman"/>
          <w:sz w:val="24"/>
          <w:szCs w:val="28"/>
        </w:rPr>
        <w:t>a)</w:t>
      </w:r>
      <w:r>
        <w:rPr>
          <w:rFonts w:ascii="Bookman Old Style" w:hAnsi="Bookman Old Style" w:cs="Times New Roman"/>
          <w:sz w:val="24"/>
          <w:szCs w:val="28"/>
        </w:rPr>
        <w:tab/>
        <w:t xml:space="preserve">   The opening of the fixed assets has been taken from the tru</w:t>
      </w:r>
      <w:r w:rsidR="0013489C">
        <w:rPr>
          <w:rFonts w:ascii="Bookman Old Style" w:hAnsi="Bookman Old Style" w:cs="Times New Roman"/>
          <w:sz w:val="24"/>
          <w:szCs w:val="28"/>
        </w:rPr>
        <w:t xml:space="preserve">ing up petition of the year </w:t>
      </w:r>
      <w:r w:rsidR="00873F90">
        <w:rPr>
          <w:rFonts w:ascii="Bookman Old Style" w:hAnsi="Bookman Old Style" w:cs="Times New Roman"/>
          <w:sz w:val="24"/>
          <w:szCs w:val="28"/>
        </w:rPr>
        <w:t>2020-21</w:t>
      </w:r>
      <w:r>
        <w:rPr>
          <w:rFonts w:ascii="Bookman Old Style" w:hAnsi="Bookman Old Style" w:cs="Times New Roman"/>
          <w:sz w:val="24"/>
          <w:szCs w:val="28"/>
        </w:rPr>
        <w:t xml:space="preserve"> along with the changes made to comply with th</w:t>
      </w:r>
      <w:r w:rsidR="0013489C">
        <w:rPr>
          <w:rFonts w:ascii="Bookman Old Style" w:hAnsi="Bookman Old Style" w:cs="Times New Roman"/>
          <w:sz w:val="24"/>
          <w:szCs w:val="28"/>
        </w:rPr>
        <w:t>e KSERC Terms and Condition for Determination of Tariff Regulations, 2018</w:t>
      </w:r>
      <w:r>
        <w:rPr>
          <w:rFonts w:ascii="Bookman Old Style" w:hAnsi="Bookman Old Style" w:cs="Times New Roman"/>
          <w:sz w:val="24"/>
          <w:szCs w:val="28"/>
        </w:rPr>
        <w:t xml:space="preserve"> as per the directions of the Honorable Commission.</w:t>
      </w:r>
    </w:p>
    <w:p w14:paraId="72599A8B" w14:textId="77777777" w:rsidR="00EF69F4" w:rsidRDefault="00047765">
      <w:pPr>
        <w:ind w:left="1080" w:hanging="540"/>
        <w:jc w:val="both"/>
        <w:rPr>
          <w:rFonts w:ascii="Bookman Old Style" w:hAnsi="Bookman Old Style" w:cs="Times New Roman"/>
          <w:sz w:val="24"/>
          <w:szCs w:val="28"/>
        </w:rPr>
      </w:pPr>
      <w:r>
        <w:rPr>
          <w:rFonts w:ascii="Bookman Old Style" w:hAnsi="Bookman Old Style" w:cs="Times New Roman"/>
          <w:sz w:val="24"/>
          <w:szCs w:val="28"/>
        </w:rPr>
        <w:t>b)  Any addition to or improvement to the fixed asset that result in increasing the utility or useful life of the asset is capitalized and included in the cost of fixed asset and depreciated accordingly.</w:t>
      </w:r>
    </w:p>
    <w:p w14:paraId="728ABC95" w14:textId="77777777" w:rsidR="00EF69F4" w:rsidRDefault="00047765">
      <w:pPr>
        <w:ind w:left="1080" w:hanging="540"/>
        <w:jc w:val="both"/>
        <w:rPr>
          <w:rFonts w:ascii="Bookman Old Style" w:hAnsi="Bookman Old Style" w:cs="Times New Roman"/>
          <w:sz w:val="24"/>
          <w:szCs w:val="28"/>
        </w:rPr>
      </w:pPr>
      <w:r>
        <w:rPr>
          <w:rFonts w:ascii="Bookman Old Style" w:hAnsi="Bookman Old Style" w:cs="Times New Roman"/>
          <w:sz w:val="24"/>
          <w:szCs w:val="28"/>
        </w:rPr>
        <w:t>c)</w:t>
      </w:r>
      <w:r>
        <w:rPr>
          <w:rFonts w:ascii="Bookman Old Style" w:hAnsi="Bookman Old Style" w:cs="Times New Roman"/>
          <w:sz w:val="24"/>
          <w:szCs w:val="28"/>
        </w:rPr>
        <w:tab/>
        <w:t>Assets for which Consumer Contribution received is specifically identifiable are capitalized as Gross Fixed Assets under the sub-head Consumer Contributed Assets and the contribution received relating to these Assets is shown in the Liability side as Consumer Contribution.</w:t>
      </w:r>
    </w:p>
    <w:p w14:paraId="4F718428" w14:textId="77777777" w:rsidR="00EF69F4" w:rsidRDefault="00047765">
      <w:pPr>
        <w:ind w:left="1080" w:hanging="540"/>
        <w:jc w:val="both"/>
        <w:rPr>
          <w:rFonts w:ascii="Bookman Old Style" w:hAnsi="Bookman Old Style" w:cs="Times New Roman"/>
          <w:sz w:val="24"/>
          <w:szCs w:val="28"/>
        </w:rPr>
      </w:pPr>
      <w:r>
        <w:rPr>
          <w:rFonts w:ascii="Bookman Old Style" w:hAnsi="Bookman Old Style" w:cs="Times New Roman"/>
          <w:sz w:val="24"/>
          <w:szCs w:val="28"/>
        </w:rPr>
        <w:t>d)  The deletions in the Fixed Assets schedule (Under heads Other than Consumer Contributed Assets head) constitute the assets for which consumer contribution has been received and the assets retired from service. In both cases no further depreciation is claimed.</w:t>
      </w:r>
    </w:p>
    <w:p w14:paraId="50E7DF40" w14:textId="77777777" w:rsidR="00EF69F4" w:rsidRDefault="00047765">
      <w:pPr>
        <w:jc w:val="both"/>
        <w:rPr>
          <w:rFonts w:ascii="Bookman Old Style" w:hAnsi="Bookman Old Style" w:cs="Times New Roman"/>
          <w:b/>
          <w:i/>
          <w:sz w:val="24"/>
          <w:szCs w:val="28"/>
        </w:rPr>
      </w:pPr>
      <w:r>
        <w:rPr>
          <w:rFonts w:ascii="Bookman Old Style" w:hAnsi="Bookman Old Style" w:cs="Times New Roman"/>
          <w:b/>
          <w:i/>
          <w:sz w:val="24"/>
          <w:szCs w:val="28"/>
        </w:rPr>
        <w:t>(ii) Accounting Policies relating to Capitalization</w:t>
      </w:r>
    </w:p>
    <w:p w14:paraId="6A6C8997" w14:textId="77777777" w:rsidR="00EF69F4" w:rsidRDefault="00047765">
      <w:pPr>
        <w:pStyle w:val="ListParagraph"/>
        <w:numPr>
          <w:ilvl w:val="0"/>
          <w:numId w:val="3"/>
        </w:numPr>
        <w:jc w:val="both"/>
        <w:rPr>
          <w:rFonts w:ascii="Bookman Old Style" w:hAnsi="Bookman Old Style" w:cs="Times New Roman"/>
          <w:sz w:val="24"/>
          <w:szCs w:val="28"/>
        </w:rPr>
      </w:pPr>
      <w:r>
        <w:rPr>
          <w:rFonts w:ascii="Bookman Old Style" w:hAnsi="Bookman Old Style" w:cs="Times New Roman"/>
          <w:i/>
          <w:sz w:val="24"/>
          <w:szCs w:val="28"/>
        </w:rPr>
        <w:t>Capitalization during the year has been done on the following basis:-</w:t>
      </w:r>
    </w:p>
    <w:p w14:paraId="60E762E9" w14:textId="77777777" w:rsidR="00EF69F4" w:rsidRDefault="00EF69F4">
      <w:pPr>
        <w:pStyle w:val="ListParagraph"/>
        <w:jc w:val="both"/>
        <w:rPr>
          <w:rFonts w:ascii="Bookman Old Style" w:hAnsi="Bookman Old Style" w:cs="Times New Roman"/>
          <w:sz w:val="24"/>
          <w:szCs w:val="28"/>
        </w:rPr>
      </w:pPr>
    </w:p>
    <w:p w14:paraId="27CA648E" w14:textId="77777777" w:rsidR="00EF69F4" w:rsidRDefault="00047765">
      <w:pPr>
        <w:pStyle w:val="ListParagraph"/>
        <w:numPr>
          <w:ilvl w:val="0"/>
          <w:numId w:val="4"/>
        </w:numPr>
        <w:ind w:hanging="360"/>
        <w:jc w:val="both"/>
        <w:rPr>
          <w:rFonts w:ascii="Bookman Old Style" w:hAnsi="Bookman Old Style" w:cs="Times New Roman"/>
          <w:sz w:val="24"/>
          <w:szCs w:val="28"/>
        </w:rPr>
      </w:pPr>
      <w:r>
        <w:rPr>
          <w:rFonts w:ascii="Bookman Old Style" w:hAnsi="Bookman Old Style" w:cs="Times New Roman"/>
          <w:sz w:val="24"/>
          <w:szCs w:val="28"/>
        </w:rPr>
        <w:t>Major Capital Works for which details of assets, their cost and date of commissioning was available, were capitalized as per their date of commissioning.</w:t>
      </w:r>
    </w:p>
    <w:p w14:paraId="1A80623F" w14:textId="77777777" w:rsidR="00EF69F4" w:rsidRDefault="00047765">
      <w:pPr>
        <w:pStyle w:val="ListParagraph"/>
        <w:numPr>
          <w:ilvl w:val="0"/>
          <w:numId w:val="4"/>
        </w:numPr>
        <w:ind w:hanging="360"/>
        <w:jc w:val="both"/>
        <w:rPr>
          <w:rFonts w:ascii="Bookman Old Style" w:hAnsi="Bookman Old Style" w:cs="Times New Roman"/>
          <w:sz w:val="24"/>
          <w:szCs w:val="28"/>
        </w:rPr>
      </w:pPr>
      <w:r>
        <w:rPr>
          <w:rFonts w:ascii="Bookman Old Style" w:hAnsi="Bookman Old Style" w:cs="Times New Roman"/>
          <w:sz w:val="24"/>
          <w:szCs w:val="28"/>
        </w:rPr>
        <w:t>Purchase Basis – Other Capital item which belong to the Distribution Network (i.e. Transformers, Meter and Poles etc.) have been capitalized at the time of purchase itself.</w:t>
      </w:r>
    </w:p>
    <w:p w14:paraId="4A45C960" w14:textId="77777777" w:rsidR="00EF69F4" w:rsidRDefault="00EF69F4">
      <w:pPr>
        <w:pStyle w:val="ListParagraph"/>
        <w:ind w:left="1080"/>
        <w:jc w:val="both"/>
        <w:rPr>
          <w:rFonts w:ascii="Bookman Old Style" w:hAnsi="Bookman Old Style" w:cs="Times New Roman"/>
          <w:sz w:val="24"/>
          <w:szCs w:val="28"/>
        </w:rPr>
      </w:pPr>
    </w:p>
    <w:p w14:paraId="724B5471" w14:textId="77777777" w:rsidR="00EF69F4" w:rsidRDefault="00047765">
      <w:pPr>
        <w:pStyle w:val="ListParagraph"/>
        <w:numPr>
          <w:ilvl w:val="0"/>
          <w:numId w:val="4"/>
        </w:numPr>
        <w:ind w:hanging="360"/>
        <w:jc w:val="both"/>
        <w:rPr>
          <w:rFonts w:ascii="Bookman Old Style" w:hAnsi="Bookman Old Style" w:cs="Times New Roman"/>
          <w:sz w:val="24"/>
          <w:szCs w:val="28"/>
        </w:rPr>
      </w:pPr>
      <w:r>
        <w:rPr>
          <w:rFonts w:ascii="Bookman Old Style" w:hAnsi="Bookman Old Style" w:cs="Times New Roman"/>
          <w:sz w:val="24"/>
          <w:szCs w:val="28"/>
        </w:rPr>
        <w:t>Store Issues basis – Other items which can be used for Repairs &amp; Maintenance works as well as Capital works are capitalized based on the purpose for which they were issued from  Stores i.e. they are capitalized only when the Stores issues for such items are for the purpose of Capital Works.</w:t>
      </w:r>
    </w:p>
    <w:p w14:paraId="4EF37AD2" w14:textId="77777777" w:rsidR="00EF69F4" w:rsidRDefault="00EF69F4">
      <w:pPr>
        <w:pStyle w:val="ListParagraph"/>
        <w:ind w:left="1080"/>
        <w:jc w:val="both"/>
        <w:rPr>
          <w:rFonts w:ascii="Bookman Old Style" w:hAnsi="Bookman Old Style" w:cs="Times New Roman"/>
          <w:i/>
          <w:sz w:val="24"/>
          <w:szCs w:val="28"/>
        </w:rPr>
      </w:pPr>
    </w:p>
    <w:p w14:paraId="6DBBA939" w14:textId="77777777" w:rsidR="00EF69F4" w:rsidRDefault="00047765">
      <w:pPr>
        <w:ind w:left="450" w:hanging="450"/>
        <w:jc w:val="both"/>
        <w:rPr>
          <w:rFonts w:ascii="Bookman Old Style" w:hAnsi="Bookman Old Style"/>
          <w:sz w:val="24"/>
          <w:szCs w:val="28"/>
        </w:rPr>
      </w:pPr>
      <w:r>
        <w:rPr>
          <w:rFonts w:ascii="Bookman Old Style" w:hAnsi="Bookman Old Style" w:cs="Times New Roman"/>
          <w:b/>
          <w:i/>
          <w:sz w:val="24"/>
          <w:szCs w:val="28"/>
        </w:rPr>
        <w:t>(iii) Retirement  &amp; Disposal –</w:t>
      </w:r>
      <w:r>
        <w:rPr>
          <w:rFonts w:ascii="Bookman Old Style" w:hAnsi="Bookman Old Style" w:cs="Times New Roman"/>
          <w:sz w:val="24"/>
          <w:szCs w:val="28"/>
        </w:rPr>
        <w:t xml:space="preserve"> For the year </w:t>
      </w:r>
      <w:r w:rsidR="00873F90">
        <w:rPr>
          <w:rFonts w:ascii="Bookman Old Style" w:hAnsi="Bookman Old Style" w:cs="Times New Roman"/>
          <w:sz w:val="24"/>
          <w:szCs w:val="28"/>
        </w:rPr>
        <w:t>2021-22</w:t>
      </w:r>
      <w:r>
        <w:rPr>
          <w:rFonts w:ascii="Bookman Old Style" w:hAnsi="Bookman Old Style" w:cs="Times New Roman"/>
          <w:sz w:val="24"/>
          <w:szCs w:val="28"/>
        </w:rPr>
        <w:t xml:space="preserve">, Fixed Asset are eliminated from the financial statement, either on disposal or on retirement from active use or on becoming redundant. Generally, such assets are disposed </w:t>
      </w:r>
      <w:proofErr w:type="spellStart"/>
      <w:r>
        <w:rPr>
          <w:rFonts w:ascii="Bookman Old Style" w:hAnsi="Bookman Old Style" w:cs="Times New Roman"/>
          <w:sz w:val="24"/>
          <w:szCs w:val="28"/>
        </w:rPr>
        <w:t>off</w:t>
      </w:r>
      <w:proofErr w:type="spellEnd"/>
      <w:r>
        <w:rPr>
          <w:rFonts w:ascii="Bookman Old Style" w:hAnsi="Bookman Old Style" w:cs="Times New Roman"/>
          <w:sz w:val="24"/>
          <w:szCs w:val="28"/>
        </w:rPr>
        <w:t xml:space="preserve"> thereafter as per the policy of the department</w:t>
      </w:r>
      <w:r>
        <w:rPr>
          <w:rFonts w:ascii="Bookman Old Style" w:hAnsi="Bookman Old Style"/>
          <w:sz w:val="24"/>
          <w:szCs w:val="28"/>
        </w:rPr>
        <w:t>.</w:t>
      </w:r>
    </w:p>
    <w:p w14:paraId="5357CEDD" w14:textId="77777777" w:rsidR="00EF69F4" w:rsidRDefault="00EF69F4">
      <w:pPr>
        <w:ind w:left="450" w:hanging="450"/>
        <w:jc w:val="both"/>
        <w:rPr>
          <w:rFonts w:ascii="Bookman Old Style" w:hAnsi="Bookman Old Style"/>
          <w:sz w:val="24"/>
          <w:szCs w:val="28"/>
        </w:rPr>
      </w:pPr>
    </w:p>
    <w:p w14:paraId="6AA7E87F" w14:textId="77777777" w:rsidR="00EF69F4" w:rsidRDefault="00047765">
      <w:pPr>
        <w:jc w:val="both"/>
        <w:rPr>
          <w:rFonts w:ascii="Bookman Old Style" w:hAnsi="Bookman Old Style"/>
          <w:b/>
          <w:sz w:val="24"/>
          <w:szCs w:val="28"/>
        </w:rPr>
      </w:pPr>
      <w:r>
        <w:rPr>
          <w:rFonts w:ascii="Bookman Old Style" w:hAnsi="Bookman Old Style"/>
          <w:b/>
          <w:sz w:val="24"/>
          <w:szCs w:val="28"/>
        </w:rPr>
        <w:t xml:space="preserve">6.1.7 </w:t>
      </w:r>
      <w:r>
        <w:rPr>
          <w:rFonts w:ascii="Bookman Old Style" w:hAnsi="Bookman Old Style"/>
          <w:b/>
          <w:sz w:val="24"/>
          <w:szCs w:val="28"/>
          <w:u w:val="single"/>
        </w:rPr>
        <w:t>Depreciation</w:t>
      </w:r>
    </w:p>
    <w:p w14:paraId="468F45C6" w14:textId="77777777" w:rsidR="00EF69F4" w:rsidRDefault="00047765">
      <w:pPr>
        <w:ind w:left="360"/>
        <w:jc w:val="both"/>
        <w:rPr>
          <w:rFonts w:ascii="Bookman Old Style" w:hAnsi="Bookman Old Style" w:cs="Times New Roman"/>
          <w:sz w:val="24"/>
          <w:szCs w:val="28"/>
        </w:rPr>
      </w:pPr>
      <w:r>
        <w:rPr>
          <w:rFonts w:ascii="Bookman Old Style" w:hAnsi="Bookman Old Style" w:cs="Times New Roman"/>
          <w:sz w:val="24"/>
          <w:szCs w:val="28"/>
        </w:rPr>
        <w:t>The Honorable Commission has notified the rates and methodology for computation of depreciation on fixed assets and useful lives of fixed assets in the KSERC (Terms and Conditions for Determination of Tariff) Regulations, 2018which has been adopted by TCED in calculating the depreciation on fixed assets.</w:t>
      </w:r>
    </w:p>
    <w:p w14:paraId="71CB8999" w14:textId="44223363" w:rsidR="00EF69F4" w:rsidRDefault="00047765" w:rsidP="006D66EF">
      <w:pPr>
        <w:ind w:left="360"/>
        <w:jc w:val="both"/>
        <w:rPr>
          <w:rFonts w:ascii="Bookman Old Style" w:hAnsi="Bookman Old Style" w:cs="Times New Roman"/>
          <w:sz w:val="24"/>
          <w:szCs w:val="28"/>
        </w:rPr>
      </w:pPr>
      <w:r>
        <w:rPr>
          <w:rFonts w:ascii="Bookman Old Style" w:hAnsi="Bookman Old Style" w:cs="Times New Roman"/>
          <w:sz w:val="24"/>
          <w:szCs w:val="28"/>
        </w:rPr>
        <w:t>Based on the aforementioned regulations, depreciation is calculated on the following basis:-</w:t>
      </w:r>
    </w:p>
    <w:p w14:paraId="286A98B6" w14:textId="77777777" w:rsidR="00EF69F4" w:rsidRDefault="00047765">
      <w:pPr>
        <w:pStyle w:val="ListParagraph"/>
        <w:numPr>
          <w:ilvl w:val="0"/>
          <w:numId w:val="6"/>
        </w:numPr>
        <w:jc w:val="both"/>
        <w:rPr>
          <w:rFonts w:ascii="Bookman Old Style" w:hAnsi="Bookman Old Style" w:cs="Times New Roman"/>
          <w:sz w:val="24"/>
          <w:szCs w:val="28"/>
        </w:rPr>
      </w:pPr>
      <w:r>
        <w:rPr>
          <w:rFonts w:ascii="Bookman Old Style" w:hAnsi="Bookman Old Style" w:cs="Times New Roman"/>
          <w:sz w:val="24"/>
          <w:szCs w:val="28"/>
        </w:rPr>
        <w:t>Depreciation is calculated on accelerated rat</w:t>
      </w:r>
      <w:bookmarkStart w:id="0" w:name="_GoBack"/>
      <w:r>
        <w:rPr>
          <w:rFonts w:ascii="Bookman Old Style" w:hAnsi="Bookman Old Style" w:cs="Times New Roman"/>
          <w:sz w:val="24"/>
          <w:szCs w:val="28"/>
        </w:rPr>
        <w:t xml:space="preserve">es </w:t>
      </w:r>
      <w:bookmarkEnd w:id="0"/>
      <w:r>
        <w:rPr>
          <w:rFonts w:ascii="Bookman Old Style" w:hAnsi="Bookman Old Style" w:cs="Times New Roman"/>
          <w:sz w:val="24"/>
          <w:szCs w:val="28"/>
        </w:rPr>
        <w:t>as prescribed</w:t>
      </w:r>
      <w:r w:rsidR="00242709">
        <w:rPr>
          <w:rFonts w:ascii="Bookman Old Style" w:hAnsi="Bookman Old Style" w:cs="Times New Roman"/>
          <w:sz w:val="24"/>
          <w:szCs w:val="28"/>
        </w:rPr>
        <w:t xml:space="preserve"> in the Tariff Regulations, 2018</w:t>
      </w:r>
      <w:r>
        <w:rPr>
          <w:rFonts w:ascii="Bookman Old Style" w:hAnsi="Bookman Old Style" w:cs="Times New Roman"/>
          <w:sz w:val="24"/>
          <w:szCs w:val="28"/>
        </w:rPr>
        <w:t xml:space="preserve"> for the first 12 years of Useful lives of assets. The balance depreciable value existing after the completion of 12 years is spread over the remaining useful lives of assets.</w:t>
      </w:r>
    </w:p>
    <w:p w14:paraId="1C715350" w14:textId="77777777" w:rsidR="0008740D" w:rsidRDefault="0008740D" w:rsidP="0008740D">
      <w:pPr>
        <w:pStyle w:val="ListParagraph"/>
        <w:numPr>
          <w:ilvl w:val="0"/>
          <w:numId w:val="6"/>
        </w:numPr>
        <w:tabs>
          <w:tab w:val="left" w:pos="900"/>
          <w:tab w:val="left" w:pos="1800"/>
        </w:tabs>
        <w:jc w:val="both"/>
        <w:rPr>
          <w:rFonts w:ascii="Bookman Old Style" w:hAnsi="Bookman Old Style" w:cs="Times New Roman"/>
          <w:bCs/>
          <w:sz w:val="24"/>
          <w:szCs w:val="28"/>
        </w:rPr>
      </w:pPr>
      <w:r>
        <w:rPr>
          <w:rFonts w:ascii="Bookman Old Style" w:hAnsi="Bookman Old Style" w:cs="Times New Roman"/>
          <w:bCs/>
          <w:sz w:val="24"/>
          <w:szCs w:val="28"/>
        </w:rPr>
        <w:t>The residual value of assets is normally considered at  considered as 10%.For some assets like software there is no scrap value thus the residual value is taken as NIL.</w:t>
      </w:r>
    </w:p>
    <w:p w14:paraId="4295EBB2" w14:textId="35CAE78F" w:rsidR="00EF69F4" w:rsidRPr="006D66EF" w:rsidRDefault="006D66EF" w:rsidP="006D66EF">
      <w:pPr>
        <w:pStyle w:val="ListParagraph"/>
        <w:numPr>
          <w:ilvl w:val="0"/>
          <w:numId w:val="6"/>
        </w:numPr>
        <w:tabs>
          <w:tab w:val="left" w:pos="360"/>
          <w:tab w:val="left" w:pos="450"/>
          <w:tab w:val="left" w:pos="900"/>
          <w:tab w:val="left" w:pos="1440"/>
          <w:tab w:val="left" w:pos="1800"/>
        </w:tabs>
        <w:jc w:val="both"/>
        <w:rPr>
          <w:rFonts w:ascii="Bookman Old Style" w:hAnsi="Bookman Old Style" w:cs="Times New Roman"/>
          <w:bCs/>
          <w:sz w:val="24"/>
          <w:szCs w:val="28"/>
        </w:rPr>
      </w:pPr>
      <w:r>
        <w:rPr>
          <w:rFonts w:ascii="Bookman Old Style" w:hAnsi="Bookman Old Style" w:cs="Times New Roman"/>
          <w:bCs/>
          <w:sz w:val="24"/>
          <w:szCs w:val="28"/>
        </w:rPr>
        <w:t>Fixed Assets purchased during the year are depreciated on pro rata basis as per the instruction given by commission on true up hearing dated 08-11-2022</w:t>
      </w:r>
      <w:r w:rsidRPr="00730EB8">
        <w:rPr>
          <w:rFonts w:ascii="Bookman Old Style" w:hAnsi="Bookman Old Style" w:cs="Times New Roman"/>
          <w:bCs/>
          <w:sz w:val="24"/>
          <w:szCs w:val="28"/>
        </w:rPr>
        <w:t>.</w:t>
      </w:r>
    </w:p>
    <w:p w14:paraId="0C7FD805" w14:textId="77777777" w:rsidR="00EF69F4" w:rsidRDefault="00047765">
      <w:pPr>
        <w:ind w:left="1440" w:hanging="1440"/>
        <w:jc w:val="both"/>
        <w:rPr>
          <w:rFonts w:ascii="Bookman Old Style" w:hAnsi="Bookman Old Style"/>
          <w:b/>
          <w:sz w:val="24"/>
          <w:szCs w:val="28"/>
        </w:rPr>
      </w:pPr>
      <w:r>
        <w:rPr>
          <w:rFonts w:ascii="Bookman Old Style" w:hAnsi="Bookman Old Style"/>
          <w:b/>
          <w:sz w:val="24"/>
          <w:szCs w:val="28"/>
        </w:rPr>
        <w:t xml:space="preserve">6.1.8 </w:t>
      </w:r>
      <w:r>
        <w:rPr>
          <w:rFonts w:ascii="Bookman Old Style" w:hAnsi="Bookman Old Style"/>
          <w:b/>
          <w:sz w:val="24"/>
          <w:szCs w:val="28"/>
          <w:u w:val="single"/>
        </w:rPr>
        <w:t>Inventory</w:t>
      </w:r>
    </w:p>
    <w:p w14:paraId="1F8EEED1" w14:textId="77777777" w:rsidR="00EF69F4" w:rsidRDefault="00047765">
      <w:pPr>
        <w:ind w:left="1080" w:hanging="360"/>
        <w:jc w:val="both"/>
        <w:rPr>
          <w:rFonts w:ascii="Bookman Old Style" w:hAnsi="Bookman Old Style" w:cs="Times New Roman"/>
          <w:sz w:val="24"/>
          <w:szCs w:val="28"/>
        </w:rPr>
      </w:pPr>
      <w:r>
        <w:rPr>
          <w:rFonts w:ascii="Bookman Old Style" w:hAnsi="Bookman Old Style" w:cs="Times New Roman"/>
          <w:sz w:val="24"/>
          <w:szCs w:val="28"/>
        </w:rPr>
        <w:t>(i) Inventories, stores and spares are valued at cost, which is determined based on FIFO which is an accepted method of Inventory Valuation.</w:t>
      </w:r>
    </w:p>
    <w:p w14:paraId="496C87D7" w14:textId="77777777" w:rsidR="00EF69F4" w:rsidRDefault="00F743AE">
      <w:pPr>
        <w:ind w:left="1080" w:hanging="360"/>
        <w:jc w:val="both"/>
        <w:rPr>
          <w:rFonts w:ascii="Bookman Old Style" w:hAnsi="Bookman Old Style" w:cs="Times New Roman"/>
          <w:sz w:val="24"/>
          <w:szCs w:val="28"/>
        </w:rPr>
      </w:pPr>
      <w:r>
        <w:rPr>
          <w:rFonts w:ascii="Bookman Old Style" w:hAnsi="Bookman Old Style" w:cs="Times New Roman"/>
          <w:sz w:val="24"/>
          <w:szCs w:val="28"/>
        </w:rPr>
        <w:t>(ii</w:t>
      </w:r>
      <w:r w:rsidR="00047765">
        <w:rPr>
          <w:rFonts w:ascii="Bookman Old Style" w:hAnsi="Bookman Old Style" w:cs="Times New Roman"/>
          <w:sz w:val="24"/>
          <w:szCs w:val="28"/>
        </w:rPr>
        <w:t>) Capital Assets are capitalized at the time of purchase itself in Store and its further issues are shown in corresponding sections to which they are issued. Hence the value of such items is not included in Inventory Valuation and not part of Closing Inventory Value.</w:t>
      </w:r>
    </w:p>
    <w:p w14:paraId="63A41A9F" w14:textId="77777777" w:rsidR="00EF69F4" w:rsidRDefault="00EF69F4">
      <w:pPr>
        <w:ind w:left="1080" w:hanging="360"/>
        <w:jc w:val="both"/>
        <w:rPr>
          <w:rFonts w:ascii="Bookman Old Style" w:hAnsi="Bookman Old Style" w:cs="Times New Roman"/>
          <w:sz w:val="24"/>
          <w:szCs w:val="28"/>
        </w:rPr>
      </w:pPr>
    </w:p>
    <w:p w14:paraId="299E2599" w14:textId="77777777" w:rsidR="004271AB" w:rsidRDefault="004271AB">
      <w:pPr>
        <w:ind w:left="1080" w:hanging="360"/>
        <w:jc w:val="both"/>
        <w:rPr>
          <w:rFonts w:ascii="Bookman Old Style" w:hAnsi="Bookman Old Style" w:cs="Times New Roman"/>
          <w:sz w:val="24"/>
          <w:szCs w:val="28"/>
        </w:rPr>
      </w:pPr>
    </w:p>
    <w:p w14:paraId="33151E46" w14:textId="77777777" w:rsidR="004271AB" w:rsidRDefault="004271AB">
      <w:pPr>
        <w:ind w:left="1080" w:hanging="360"/>
        <w:jc w:val="both"/>
        <w:rPr>
          <w:rFonts w:ascii="Bookman Old Style" w:hAnsi="Bookman Old Style" w:cs="Times New Roman"/>
          <w:sz w:val="24"/>
          <w:szCs w:val="28"/>
        </w:rPr>
      </w:pPr>
    </w:p>
    <w:p w14:paraId="4C37260A" w14:textId="77777777" w:rsidR="00EF69F4" w:rsidRDefault="00047765">
      <w:pPr>
        <w:ind w:left="1440" w:hanging="1440"/>
        <w:jc w:val="both"/>
        <w:rPr>
          <w:rFonts w:ascii="Bookman Old Style" w:hAnsi="Bookman Old Style"/>
          <w:b/>
          <w:sz w:val="24"/>
          <w:szCs w:val="28"/>
          <w:u w:val="single"/>
        </w:rPr>
      </w:pPr>
      <w:r>
        <w:rPr>
          <w:rFonts w:ascii="Bookman Old Style" w:hAnsi="Bookman Old Style"/>
          <w:b/>
          <w:sz w:val="24"/>
          <w:szCs w:val="28"/>
        </w:rPr>
        <w:t xml:space="preserve">6.1.9 </w:t>
      </w:r>
      <w:r>
        <w:rPr>
          <w:rFonts w:ascii="Bookman Old Style" w:hAnsi="Bookman Old Style"/>
          <w:b/>
          <w:sz w:val="24"/>
          <w:szCs w:val="28"/>
          <w:u w:val="single"/>
        </w:rPr>
        <w:t>Employee Cost and Retirement Benefits.</w:t>
      </w:r>
    </w:p>
    <w:p w14:paraId="7ABB39D3" w14:textId="77777777" w:rsidR="00EF69F4" w:rsidRDefault="00047765">
      <w:pPr>
        <w:ind w:left="1440" w:hanging="720"/>
        <w:jc w:val="both"/>
        <w:rPr>
          <w:rFonts w:ascii="Bookman Old Style" w:hAnsi="Bookman Old Style" w:cs="Times New Roman"/>
          <w:sz w:val="24"/>
          <w:szCs w:val="28"/>
        </w:rPr>
      </w:pPr>
      <w:r>
        <w:rPr>
          <w:rFonts w:ascii="Bookman Old Style" w:hAnsi="Bookman Old Style" w:cs="Times New Roman"/>
          <w:sz w:val="24"/>
          <w:szCs w:val="28"/>
        </w:rPr>
        <w:t>(i)  Salary and other employee costs are recognized on accrual basis</w:t>
      </w:r>
    </w:p>
    <w:p w14:paraId="7BA65EF1" w14:textId="77777777" w:rsidR="00EF69F4" w:rsidRDefault="00047765">
      <w:pPr>
        <w:ind w:left="1170" w:hanging="450"/>
        <w:jc w:val="both"/>
        <w:rPr>
          <w:rFonts w:ascii="Bookman Old Style" w:hAnsi="Bookman Old Style" w:cs="Times New Roman"/>
          <w:sz w:val="24"/>
          <w:szCs w:val="28"/>
        </w:rPr>
      </w:pPr>
      <w:r>
        <w:rPr>
          <w:rFonts w:ascii="Bookman Old Style" w:hAnsi="Bookman Old Style" w:cs="Times New Roman"/>
          <w:sz w:val="24"/>
          <w:szCs w:val="28"/>
        </w:rPr>
        <w:t>(ii) Pension disbursement made by TCED (out of its own fund) to retired employees is accounted as Loans &amp; Advances receivable from Government and is not included under Employee Cost.</w:t>
      </w:r>
    </w:p>
    <w:p w14:paraId="3895372A" w14:textId="77777777" w:rsidR="00EF69F4" w:rsidRPr="0013489C" w:rsidRDefault="00047765">
      <w:pPr>
        <w:ind w:left="1170" w:hanging="450"/>
        <w:jc w:val="both"/>
        <w:rPr>
          <w:rFonts w:ascii="Bookman Old Style" w:hAnsi="Bookman Old Style" w:cs="Times New Roman"/>
          <w:sz w:val="24"/>
          <w:szCs w:val="28"/>
        </w:rPr>
      </w:pPr>
      <w:r>
        <w:rPr>
          <w:rFonts w:ascii="Bookman Old Style" w:hAnsi="Bookman Old Style" w:cs="Times New Roman"/>
          <w:sz w:val="24"/>
          <w:szCs w:val="28"/>
        </w:rPr>
        <w:t>(iii)</w:t>
      </w:r>
      <w:r>
        <w:rPr>
          <w:rFonts w:ascii="Bookman Old Style" w:hAnsi="Bookman Old Style" w:cs="Times New Roman"/>
          <w:sz w:val="24"/>
          <w:szCs w:val="28"/>
        </w:rPr>
        <w:tab/>
        <w:t>Employee cost incurred in respect of Consumer Contributed assets</w:t>
      </w:r>
      <w:r w:rsidR="00A75298">
        <w:rPr>
          <w:rFonts w:ascii="Bookman Old Style" w:hAnsi="Bookman Old Style" w:cs="Times New Roman"/>
          <w:sz w:val="24"/>
          <w:szCs w:val="28"/>
        </w:rPr>
        <w:t>,</w:t>
      </w:r>
      <w:r>
        <w:rPr>
          <w:rFonts w:ascii="Bookman Old Style" w:hAnsi="Bookman Old Style" w:cs="Times New Roman"/>
          <w:sz w:val="24"/>
          <w:szCs w:val="28"/>
        </w:rPr>
        <w:t xml:space="preserve"> where identified has been added along with the Cost of such assets. Where Consumer Contribution received is not directly attributable to Capital Expenditure the same has been set </w:t>
      </w:r>
      <w:r w:rsidR="00A33C04">
        <w:rPr>
          <w:rFonts w:ascii="Bookman Old Style" w:hAnsi="Bookman Old Style" w:cs="Times New Roman"/>
          <w:sz w:val="24"/>
          <w:szCs w:val="28"/>
        </w:rPr>
        <w:t>off correspondingly.</w:t>
      </w:r>
    </w:p>
    <w:p w14:paraId="4F722A96" w14:textId="77777777" w:rsidR="00EF69F4" w:rsidRDefault="0008740D">
      <w:pPr>
        <w:ind w:left="1440" w:hanging="1440"/>
        <w:jc w:val="both"/>
        <w:rPr>
          <w:rFonts w:ascii="Bookman Old Style" w:hAnsi="Bookman Old Style"/>
          <w:b/>
          <w:sz w:val="24"/>
          <w:szCs w:val="28"/>
          <w:u w:val="single"/>
        </w:rPr>
      </w:pPr>
      <w:r>
        <w:rPr>
          <w:rFonts w:ascii="Bookman Old Style" w:hAnsi="Bookman Old Style"/>
          <w:b/>
          <w:sz w:val="24"/>
          <w:szCs w:val="28"/>
        </w:rPr>
        <w:t>6.1.10</w:t>
      </w:r>
      <w:r w:rsidR="005C1145">
        <w:rPr>
          <w:rFonts w:ascii="Bookman Old Style" w:hAnsi="Bookman Old Style"/>
          <w:b/>
          <w:sz w:val="24"/>
          <w:szCs w:val="28"/>
        </w:rPr>
        <w:t xml:space="preserve"> </w:t>
      </w:r>
      <w:r w:rsidR="00047765">
        <w:rPr>
          <w:rFonts w:ascii="Bookman Old Style" w:hAnsi="Bookman Old Style"/>
          <w:b/>
          <w:sz w:val="24"/>
          <w:szCs w:val="28"/>
          <w:u w:val="single"/>
        </w:rPr>
        <w:t>Power Purchase – Bulk Supply</w:t>
      </w:r>
    </w:p>
    <w:p w14:paraId="69D89EA5" w14:textId="77777777" w:rsidR="00EF69F4" w:rsidRDefault="00047765">
      <w:pPr>
        <w:jc w:val="both"/>
        <w:rPr>
          <w:rFonts w:ascii="Bookman Old Style" w:hAnsi="Bookman Old Style"/>
          <w:sz w:val="24"/>
          <w:szCs w:val="28"/>
        </w:rPr>
      </w:pPr>
      <w:r>
        <w:rPr>
          <w:rFonts w:ascii="Bookman Old Style" w:hAnsi="Bookman Old Style" w:cs="Times New Roman"/>
          <w:sz w:val="24"/>
          <w:szCs w:val="28"/>
        </w:rPr>
        <w:t>Power Purchase – Bulk Supply costs are accounted based on the total number of energy units purchased during the year from the KSEB</w:t>
      </w:r>
      <w:r w:rsidR="00EB758B">
        <w:rPr>
          <w:rFonts w:ascii="Bookman Old Style" w:hAnsi="Bookman Old Style" w:cs="Times New Roman"/>
          <w:sz w:val="24"/>
          <w:szCs w:val="28"/>
        </w:rPr>
        <w:t xml:space="preserve"> and solar energy from consumers</w:t>
      </w:r>
      <w:r>
        <w:rPr>
          <w:rFonts w:ascii="Bookman Old Style" w:hAnsi="Bookman Old Style"/>
          <w:sz w:val="24"/>
          <w:szCs w:val="28"/>
        </w:rPr>
        <w:t>.</w:t>
      </w:r>
    </w:p>
    <w:p w14:paraId="364B1E32" w14:textId="77777777" w:rsidR="00EF69F4" w:rsidRDefault="0008740D">
      <w:pPr>
        <w:jc w:val="both"/>
        <w:rPr>
          <w:rFonts w:ascii="Bookman Old Style" w:hAnsi="Bookman Old Style"/>
          <w:b/>
          <w:sz w:val="24"/>
          <w:szCs w:val="28"/>
          <w:u w:val="single"/>
        </w:rPr>
      </w:pPr>
      <w:r>
        <w:rPr>
          <w:rFonts w:ascii="Bookman Old Style" w:hAnsi="Bookman Old Style"/>
          <w:b/>
          <w:sz w:val="24"/>
          <w:szCs w:val="28"/>
        </w:rPr>
        <w:t>6.1.11</w:t>
      </w:r>
      <w:r w:rsidR="00047765">
        <w:rPr>
          <w:rFonts w:ascii="Bookman Old Style" w:hAnsi="Bookman Old Style"/>
          <w:b/>
          <w:sz w:val="24"/>
          <w:szCs w:val="28"/>
        </w:rPr>
        <w:t xml:space="preserve"> </w:t>
      </w:r>
      <w:r w:rsidR="00047765" w:rsidRPr="00F743AE">
        <w:rPr>
          <w:rFonts w:ascii="Bookman Old Style" w:hAnsi="Bookman Old Style"/>
          <w:b/>
          <w:sz w:val="24"/>
          <w:szCs w:val="28"/>
          <w:u w:val="single"/>
        </w:rPr>
        <w:t>Interest</w:t>
      </w:r>
      <w:r w:rsidR="00047765">
        <w:rPr>
          <w:rFonts w:ascii="Bookman Old Style" w:hAnsi="Bookman Old Style"/>
          <w:b/>
          <w:sz w:val="24"/>
          <w:szCs w:val="28"/>
          <w:u w:val="single"/>
        </w:rPr>
        <w:t xml:space="preserve"> Payable on Consumer Security Deposits</w:t>
      </w:r>
    </w:p>
    <w:p w14:paraId="7AD24079" w14:textId="77777777" w:rsidR="00EF69F4" w:rsidRDefault="00047765" w:rsidP="004271AB">
      <w:pPr>
        <w:tabs>
          <w:tab w:val="left" w:pos="720"/>
        </w:tabs>
        <w:spacing w:line="240" w:lineRule="auto"/>
        <w:ind w:left="720" w:hanging="720"/>
        <w:jc w:val="both"/>
        <w:rPr>
          <w:rFonts w:ascii="Bookman Old Style" w:hAnsi="Bookman Old Style" w:cs="Times New Roman"/>
          <w:sz w:val="24"/>
          <w:szCs w:val="28"/>
        </w:rPr>
      </w:pPr>
      <w:r>
        <w:rPr>
          <w:rFonts w:ascii="Bookman Old Style" w:hAnsi="Bookman Old Style" w:cs="Times New Roman"/>
          <w:sz w:val="24"/>
          <w:szCs w:val="28"/>
        </w:rPr>
        <w:t>(i)</w:t>
      </w:r>
      <w:r>
        <w:rPr>
          <w:rFonts w:ascii="Bookman Old Style" w:hAnsi="Bookman Old Style" w:cs="Times New Roman"/>
          <w:sz w:val="24"/>
          <w:szCs w:val="28"/>
        </w:rPr>
        <w:tab/>
        <w:t>Interest payable on Security Deposits received from Consumers is accounted for on accrual basis. Since the interest expense for the year is actually payable only in first quarter of the next financial year, the amount is shown as “interest on security deposit accrued but not due”.</w:t>
      </w:r>
    </w:p>
    <w:p w14:paraId="6F0059C4" w14:textId="77777777" w:rsidR="00EF69F4" w:rsidRDefault="00047765" w:rsidP="004271AB">
      <w:pPr>
        <w:spacing w:line="240" w:lineRule="auto"/>
        <w:ind w:left="720" w:hanging="720"/>
        <w:jc w:val="both"/>
        <w:rPr>
          <w:rFonts w:ascii="Bookman Old Style" w:hAnsi="Bookman Old Style" w:cs="Times New Roman"/>
          <w:sz w:val="24"/>
          <w:szCs w:val="28"/>
        </w:rPr>
      </w:pPr>
      <w:r>
        <w:rPr>
          <w:rFonts w:ascii="Bookman Old Style" w:hAnsi="Bookman Old Style" w:cs="Times New Roman"/>
          <w:sz w:val="24"/>
          <w:szCs w:val="28"/>
        </w:rPr>
        <w:t xml:space="preserve">(ii) </w:t>
      </w:r>
      <w:r>
        <w:rPr>
          <w:rFonts w:ascii="Bookman Old Style" w:hAnsi="Bookman Old Style" w:cs="Times New Roman"/>
          <w:sz w:val="24"/>
          <w:szCs w:val="28"/>
        </w:rPr>
        <w:tab/>
        <w:t xml:space="preserve">Liability for unpaid interest (for the financial year </w:t>
      </w:r>
      <w:r w:rsidR="00873F90">
        <w:rPr>
          <w:rFonts w:ascii="Bookman Old Style" w:hAnsi="Bookman Old Style" w:cs="Times New Roman"/>
          <w:sz w:val="24"/>
          <w:szCs w:val="28"/>
        </w:rPr>
        <w:t>2021-22</w:t>
      </w:r>
      <w:r>
        <w:rPr>
          <w:rFonts w:ascii="Bookman Old Style" w:hAnsi="Bookman Old Style" w:cs="Times New Roman"/>
          <w:sz w:val="24"/>
          <w:szCs w:val="28"/>
        </w:rPr>
        <w:t>) has been recognized based on the difference between opening balance of “ interest on security deposits accrued but not due” and the amount of interest actually paid (adjusted in billing) during the year. However the specific consumers to which it has not been paid is currently undeterminable.</w:t>
      </w:r>
    </w:p>
    <w:p w14:paraId="7B809F1F" w14:textId="77777777" w:rsidR="00EF69F4" w:rsidRDefault="00047765" w:rsidP="004271AB">
      <w:pPr>
        <w:pStyle w:val="ListParagraph"/>
        <w:numPr>
          <w:ilvl w:val="0"/>
          <w:numId w:val="7"/>
        </w:numPr>
        <w:spacing w:line="240" w:lineRule="auto"/>
        <w:ind w:left="630" w:hanging="630"/>
        <w:jc w:val="both"/>
        <w:rPr>
          <w:rFonts w:ascii="Bookman Old Style" w:hAnsi="Bookman Old Style" w:cs="Times New Roman"/>
          <w:sz w:val="24"/>
          <w:szCs w:val="28"/>
        </w:rPr>
      </w:pPr>
      <w:r>
        <w:rPr>
          <w:rFonts w:ascii="Bookman Old Style" w:hAnsi="Bookman Old Style" w:cs="Times New Roman"/>
          <w:sz w:val="24"/>
          <w:szCs w:val="28"/>
        </w:rPr>
        <w:t xml:space="preserve">The rate of interest on SD from consumer is based upon prevailing bank rate and is calculated using the formula:- </w:t>
      </w:r>
    </w:p>
    <w:p w14:paraId="10657043" w14:textId="77777777" w:rsidR="00EF69F4" w:rsidRDefault="00047765">
      <w:pPr>
        <w:pStyle w:val="ListParagraph"/>
        <w:ind w:left="2160"/>
        <w:jc w:val="both"/>
        <w:rPr>
          <w:rFonts w:ascii="Bookman Old Style" w:hAnsi="Bookman Old Style" w:cs="Times New Roman"/>
          <w:sz w:val="24"/>
          <w:szCs w:val="28"/>
        </w:rPr>
      </w:pPr>
      <w:r>
        <w:rPr>
          <w:rFonts w:ascii="Bookman Old Style" w:hAnsi="Bookman Old Style" w:cs="Times New Roman"/>
          <w:sz w:val="24"/>
          <w:szCs w:val="28"/>
        </w:rPr>
        <w:t>{</w:t>
      </w:r>
      <w:proofErr w:type="spellStart"/>
      <w:r>
        <w:rPr>
          <w:rFonts w:ascii="Bookman Old Style" w:hAnsi="Bookman Old Style" w:cs="Times New Roman"/>
          <w:sz w:val="24"/>
          <w:szCs w:val="28"/>
        </w:rPr>
        <w:t>OpeningSD</w:t>
      </w:r>
      <w:proofErr w:type="spellEnd"/>
      <w:r>
        <w:rPr>
          <w:rFonts w:ascii="Bookman Old Style" w:hAnsi="Bookman Old Style" w:cs="Times New Roman"/>
          <w:sz w:val="24"/>
          <w:szCs w:val="28"/>
        </w:rPr>
        <w:t xml:space="preserve"> + Closing SD}/2* Rate of Interest</w:t>
      </w:r>
    </w:p>
    <w:p w14:paraId="1E906188" w14:textId="77777777" w:rsidR="00EF69F4" w:rsidRDefault="0008740D">
      <w:pPr>
        <w:jc w:val="both"/>
        <w:rPr>
          <w:rFonts w:ascii="Bookman Old Style" w:hAnsi="Bookman Old Style"/>
          <w:b/>
          <w:sz w:val="24"/>
          <w:szCs w:val="28"/>
          <w:u w:val="single"/>
        </w:rPr>
      </w:pPr>
      <w:r>
        <w:rPr>
          <w:rFonts w:ascii="Bookman Old Style" w:hAnsi="Bookman Old Style"/>
          <w:b/>
          <w:sz w:val="24"/>
          <w:szCs w:val="28"/>
        </w:rPr>
        <w:t>6.1.12</w:t>
      </w:r>
      <w:r w:rsidR="00047765">
        <w:rPr>
          <w:rFonts w:ascii="Bookman Old Style" w:hAnsi="Bookman Old Style"/>
          <w:b/>
          <w:sz w:val="24"/>
          <w:szCs w:val="28"/>
        </w:rPr>
        <w:t xml:space="preserve"> </w:t>
      </w:r>
      <w:r w:rsidR="00047765" w:rsidRPr="00F743AE">
        <w:rPr>
          <w:rFonts w:ascii="Bookman Old Style" w:hAnsi="Bookman Old Style"/>
          <w:b/>
          <w:sz w:val="24"/>
          <w:szCs w:val="28"/>
          <w:u w:val="single"/>
        </w:rPr>
        <w:t>Transactions</w:t>
      </w:r>
      <w:r w:rsidR="00047765">
        <w:rPr>
          <w:rFonts w:ascii="Bookman Old Style" w:hAnsi="Bookman Old Style"/>
          <w:b/>
          <w:sz w:val="24"/>
          <w:szCs w:val="28"/>
          <w:u w:val="single"/>
        </w:rPr>
        <w:t xml:space="preserve"> with Thrissur Corporation</w:t>
      </w:r>
    </w:p>
    <w:p w14:paraId="23FA51CF" w14:textId="77777777" w:rsidR="00EF69F4" w:rsidRDefault="00047765">
      <w:pPr>
        <w:jc w:val="both"/>
        <w:rPr>
          <w:rFonts w:ascii="Bookman Old Style" w:hAnsi="Bookman Old Style" w:cs="Times New Roman"/>
          <w:sz w:val="24"/>
          <w:szCs w:val="28"/>
        </w:rPr>
      </w:pPr>
      <w:r>
        <w:rPr>
          <w:rFonts w:ascii="Bookman Old Style" w:hAnsi="Bookman Old Style" w:cs="Times New Roman"/>
          <w:sz w:val="24"/>
          <w:szCs w:val="28"/>
        </w:rPr>
        <w:t>Thrissur Corporation is treated as a separate entity and all the transactions between Thrissur Corporation and TCED for the year are accounted under “Corporation current account”. The transactions recorded in the corporation current account includes actual funds transfers, explicit transactions (i.e. where TCED has billed Thrissur corporation or vice-versa</w:t>
      </w:r>
      <w:proofErr w:type="gramStart"/>
      <w:r>
        <w:rPr>
          <w:rFonts w:ascii="Bookman Old Style" w:hAnsi="Bookman Old Style" w:cs="Times New Roman"/>
          <w:sz w:val="24"/>
          <w:szCs w:val="28"/>
        </w:rPr>
        <w:t>)and</w:t>
      </w:r>
      <w:proofErr w:type="gramEnd"/>
      <w:r>
        <w:rPr>
          <w:rFonts w:ascii="Bookman Old Style" w:hAnsi="Bookman Old Style" w:cs="Times New Roman"/>
          <w:sz w:val="24"/>
          <w:szCs w:val="28"/>
        </w:rPr>
        <w:t xml:space="preserve"> implicit transactions (i.e. where TCED has incurred expenses on behalf of Thrissur corporation or vice-versa)</w:t>
      </w:r>
      <w:r w:rsidR="00F743AE">
        <w:rPr>
          <w:rFonts w:ascii="Bookman Old Style" w:hAnsi="Bookman Old Style" w:cs="Times New Roman"/>
          <w:sz w:val="24"/>
          <w:szCs w:val="28"/>
        </w:rPr>
        <w:t>. T</w:t>
      </w:r>
      <w:r>
        <w:rPr>
          <w:rFonts w:ascii="Bookman Old Style" w:hAnsi="Bookman Old Style" w:cs="Times New Roman"/>
          <w:sz w:val="24"/>
          <w:szCs w:val="28"/>
        </w:rPr>
        <w:t xml:space="preserve">he net balance in corporation current account is shown in either under Loans &amp; </w:t>
      </w:r>
      <w:proofErr w:type="gramStart"/>
      <w:r>
        <w:rPr>
          <w:rFonts w:ascii="Bookman Old Style" w:hAnsi="Bookman Old Style" w:cs="Times New Roman"/>
          <w:sz w:val="24"/>
          <w:szCs w:val="28"/>
        </w:rPr>
        <w:t>Advance(</w:t>
      </w:r>
      <w:proofErr w:type="gramEnd"/>
      <w:r>
        <w:rPr>
          <w:rFonts w:ascii="Bookman Old Style" w:hAnsi="Bookman Old Style" w:cs="Times New Roman"/>
          <w:sz w:val="24"/>
          <w:szCs w:val="28"/>
        </w:rPr>
        <w:t>in case of amount is received from corporation)</w:t>
      </w:r>
      <w:r w:rsidR="00F743AE">
        <w:rPr>
          <w:rFonts w:ascii="Bookman Old Style" w:hAnsi="Bookman Old Style" w:cs="Times New Roman"/>
          <w:sz w:val="24"/>
          <w:szCs w:val="28"/>
        </w:rPr>
        <w:t xml:space="preserve"> or </w:t>
      </w:r>
      <w:r>
        <w:rPr>
          <w:rFonts w:ascii="Bookman Old Style" w:hAnsi="Bookman Old Style" w:cs="Times New Roman"/>
          <w:sz w:val="24"/>
          <w:szCs w:val="28"/>
        </w:rPr>
        <w:t>under current liabilities (in case amount is payable to corporation).</w:t>
      </w:r>
    </w:p>
    <w:p w14:paraId="55213CE7" w14:textId="77777777" w:rsidR="00EF69F4" w:rsidRDefault="0008740D">
      <w:pPr>
        <w:ind w:left="1440" w:hanging="1440"/>
        <w:jc w:val="both"/>
        <w:rPr>
          <w:rFonts w:ascii="Bookman Old Style" w:hAnsi="Bookman Old Style"/>
          <w:b/>
          <w:sz w:val="24"/>
          <w:szCs w:val="28"/>
          <w:u w:val="single"/>
        </w:rPr>
      </w:pPr>
      <w:r>
        <w:rPr>
          <w:rFonts w:ascii="Bookman Old Style" w:hAnsi="Bookman Old Style"/>
          <w:b/>
          <w:sz w:val="24"/>
          <w:szCs w:val="28"/>
        </w:rPr>
        <w:t>6.1.13</w:t>
      </w:r>
      <w:r w:rsidR="005C1145">
        <w:rPr>
          <w:rFonts w:ascii="Bookman Old Style" w:hAnsi="Bookman Old Style"/>
          <w:b/>
          <w:sz w:val="24"/>
          <w:szCs w:val="28"/>
        </w:rPr>
        <w:t xml:space="preserve"> </w:t>
      </w:r>
      <w:r w:rsidR="00047765">
        <w:rPr>
          <w:rFonts w:ascii="Bookman Old Style" w:hAnsi="Bookman Old Style"/>
          <w:b/>
          <w:sz w:val="24"/>
          <w:szCs w:val="28"/>
          <w:u w:val="single"/>
        </w:rPr>
        <w:t>Streetlights</w:t>
      </w:r>
    </w:p>
    <w:p w14:paraId="772A476D" w14:textId="77777777" w:rsidR="00EF69F4" w:rsidRDefault="00047765">
      <w:pPr>
        <w:jc w:val="both"/>
        <w:rPr>
          <w:rFonts w:ascii="Bookman Old Style" w:hAnsi="Bookman Old Style" w:cs="Times New Roman"/>
          <w:sz w:val="24"/>
          <w:szCs w:val="28"/>
        </w:rPr>
      </w:pPr>
      <w:r>
        <w:rPr>
          <w:rFonts w:ascii="Bookman Old Style" w:hAnsi="Bookman Old Style" w:cs="Times New Roman"/>
          <w:sz w:val="24"/>
          <w:szCs w:val="28"/>
        </w:rPr>
        <w:t>As street lights are not a part of distribution licensee’s business, they are segregated from TCED’s normal transactions in the following manner:-</w:t>
      </w:r>
    </w:p>
    <w:p w14:paraId="2C0314D0" w14:textId="77777777" w:rsidR="00EF69F4" w:rsidRPr="007B1929" w:rsidRDefault="00047765" w:rsidP="007B1929">
      <w:pPr>
        <w:pStyle w:val="ListParagraph"/>
        <w:numPr>
          <w:ilvl w:val="0"/>
          <w:numId w:val="8"/>
        </w:numPr>
        <w:spacing w:line="360" w:lineRule="auto"/>
        <w:ind w:left="810"/>
        <w:jc w:val="both"/>
        <w:rPr>
          <w:rFonts w:ascii="Bookman Old Style" w:hAnsi="Bookman Old Style"/>
          <w:sz w:val="24"/>
          <w:szCs w:val="28"/>
        </w:rPr>
      </w:pPr>
      <w:r>
        <w:rPr>
          <w:rFonts w:ascii="Bookman Old Style" w:hAnsi="Bookman Old Style" w:cs="Times New Roman"/>
          <w:sz w:val="24"/>
          <w:szCs w:val="28"/>
        </w:rPr>
        <w:t>Estimated energy consumed by streetlights is added to the revenue from the sale of power and charged to Corporation Current A/c.</w:t>
      </w:r>
    </w:p>
    <w:p w14:paraId="0D423EEA" w14:textId="77777777" w:rsidR="00EF69F4" w:rsidRDefault="0008740D">
      <w:pPr>
        <w:ind w:left="1440" w:hanging="1440"/>
        <w:jc w:val="both"/>
        <w:rPr>
          <w:rFonts w:ascii="Bookman Old Style" w:hAnsi="Bookman Old Style"/>
          <w:b/>
          <w:sz w:val="24"/>
          <w:szCs w:val="28"/>
          <w:u w:val="single"/>
        </w:rPr>
      </w:pPr>
      <w:r>
        <w:rPr>
          <w:rFonts w:ascii="Bookman Old Style" w:hAnsi="Bookman Old Style"/>
          <w:b/>
          <w:sz w:val="24"/>
          <w:szCs w:val="28"/>
        </w:rPr>
        <w:t>6.1.14</w:t>
      </w:r>
      <w:r w:rsidR="005C1145">
        <w:rPr>
          <w:rFonts w:ascii="Bookman Old Style" w:hAnsi="Bookman Old Style"/>
          <w:b/>
          <w:sz w:val="24"/>
          <w:szCs w:val="28"/>
        </w:rPr>
        <w:t xml:space="preserve"> </w:t>
      </w:r>
      <w:r w:rsidR="00047765">
        <w:rPr>
          <w:rFonts w:ascii="Bookman Old Style" w:hAnsi="Bookman Old Style"/>
          <w:b/>
          <w:sz w:val="24"/>
          <w:szCs w:val="28"/>
          <w:u w:val="single"/>
        </w:rPr>
        <w:t>Duties and Charges</w:t>
      </w:r>
    </w:p>
    <w:p w14:paraId="41745832" w14:textId="77777777" w:rsidR="00EF69F4" w:rsidRDefault="00047765">
      <w:pPr>
        <w:pStyle w:val="ListParagraph"/>
        <w:numPr>
          <w:ilvl w:val="0"/>
          <w:numId w:val="9"/>
        </w:numPr>
        <w:ind w:left="720"/>
        <w:jc w:val="both"/>
        <w:rPr>
          <w:rFonts w:ascii="Bookman Old Style" w:hAnsi="Bookman Old Style" w:cs="Times New Roman"/>
          <w:sz w:val="24"/>
          <w:szCs w:val="28"/>
        </w:rPr>
      </w:pPr>
      <w:r>
        <w:rPr>
          <w:rFonts w:ascii="Bookman Old Style" w:hAnsi="Bookman Old Style" w:cs="Times New Roman"/>
          <w:sz w:val="24"/>
          <w:szCs w:val="28"/>
        </w:rPr>
        <w:t>Duty payable under section 4 of the Kerala electricity duty act and Surcharge (HT) payable is accounted for based on the energy billing for the year. Liability for duty &amp;surcharge represents the difference between duties and surcharge payable (based on energy billing) and actual cash remittance towards settlement of duties and surcharge liability.</w:t>
      </w:r>
    </w:p>
    <w:p w14:paraId="2768510E" w14:textId="77777777" w:rsidR="00EF69F4" w:rsidRDefault="00EF69F4">
      <w:pPr>
        <w:pStyle w:val="ListParagraph"/>
        <w:jc w:val="both"/>
        <w:rPr>
          <w:rFonts w:ascii="Bookman Old Style" w:hAnsi="Bookman Old Style" w:cs="Times New Roman"/>
          <w:sz w:val="24"/>
          <w:szCs w:val="28"/>
        </w:rPr>
      </w:pPr>
    </w:p>
    <w:p w14:paraId="67FA4639" w14:textId="77777777" w:rsidR="00EF69F4" w:rsidRDefault="00047765">
      <w:pPr>
        <w:pStyle w:val="ListParagraph"/>
        <w:numPr>
          <w:ilvl w:val="0"/>
          <w:numId w:val="9"/>
        </w:numPr>
        <w:ind w:left="720"/>
        <w:jc w:val="both"/>
        <w:rPr>
          <w:rFonts w:ascii="Bookman Old Style" w:hAnsi="Bookman Old Style" w:cs="Times New Roman"/>
          <w:sz w:val="24"/>
          <w:szCs w:val="28"/>
        </w:rPr>
      </w:pPr>
      <w:r>
        <w:rPr>
          <w:rFonts w:ascii="Bookman Old Style" w:hAnsi="Bookman Old Style" w:cs="Times New Roman"/>
          <w:sz w:val="24"/>
          <w:szCs w:val="28"/>
        </w:rPr>
        <w:t>Duty payable under Sec 3(1) of the Kerala Electricity Duty Act is accounted for based on energy billing for the year. Since the Sec 3(1) duty is not recoverable from consumers, it is included in Administration and general expenses, being a cost incurred by TCED in carrying out its business. Liability for Sec3 (1) duty shown in the balance sheet represents the difference between duty payable based on energy billing and the actual cost remittance made towards settlement of duty liability.</w:t>
      </w:r>
    </w:p>
    <w:p w14:paraId="0764E522" w14:textId="77777777" w:rsidR="004271AB" w:rsidRPr="0008740D" w:rsidRDefault="004271AB" w:rsidP="0008740D">
      <w:pPr>
        <w:jc w:val="both"/>
        <w:rPr>
          <w:rFonts w:ascii="Bookman Old Style" w:hAnsi="Bookman Old Style" w:cs="Times New Roman"/>
          <w:sz w:val="24"/>
          <w:szCs w:val="28"/>
        </w:rPr>
      </w:pPr>
    </w:p>
    <w:p w14:paraId="44B6F675" w14:textId="77777777" w:rsidR="00EF69F4" w:rsidRDefault="0008740D">
      <w:pPr>
        <w:jc w:val="both"/>
        <w:rPr>
          <w:rFonts w:ascii="Bookman Old Style" w:hAnsi="Bookman Old Style" w:cs="Times New Roman"/>
          <w:b/>
          <w:sz w:val="24"/>
          <w:szCs w:val="28"/>
          <w:u w:val="single"/>
        </w:rPr>
      </w:pPr>
      <w:r>
        <w:rPr>
          <w:rFonts w:ascii="Bookman Old Style" w:hAnsi="Bookman Old Style"/>
          <w:b/>
          <w:sz w:val="24"/>
          <w:szCs w:val="28"/>
        </w:rPr>
        <w:t>6.1.15</w:t>
      </w:r>
      <w:r w:rsidR="005C1145">
        <w:rPr>
          <w:rFonts w:ascii="Bookman Old Style" w:hAnsi="Bookman Old Style"/>
          <w:b/>
          <w:sz w:val="24"/>
          <w:szCs w:val="28"/>
        </w:rPr>
        <w:t xml:space="preserve"> </w:t>
      </w:r>
      <w:r w:rsidR="00047765">
        <w:rPr>
          <w:rFonts w:ascii="Bookman Old Style" w:hAnsi="Bookman Old Style"/>
          <w:b/>
          <w:sz w:val="24"/>
          <w:szCs w:val="28"/>
          <w:u w:val="single"/>
        </w:rPr>
        <w:t>Use of Estimates</w:t>
      </w:r>
    </w:p>
    <w:p w14:paraId="3A19CDAE" w14:textId="77777777" w:rsidR="00EF69F4" w:rsidRDefault="00047765">
      <w:pPr>
        <w:jc w:val="both"/>
        <w:rPr>
          <w:rFonts w:ascii="Bookman Old Style" w:hAnsi="Bookman Old Style" w:cs="Times New Roman"/>
          <w:sz w:val="24"/>
          <w:szCs w:val="28"/>
        </w:rPr>
      </w:pPr>
      <w:r>
        <w:rPr>
          <w:rFonts w:ascii="Bookman Old Style" w:hAnsi="Bookman Old Style" w:cs="Times New Roman"/>
          <w:sz w:val="24"/>
          <w:szCs w:val="28"/>
        </w:rPr>
        <w:t>The preparation of financial statements requires the management of department to make estimates and assumptions that affect the reported balance of assets and liabilities revenue and expenses and disclosures relating to the contingent liability. The management believes that the estimates used in preparation of the financial statements are prudent and reasonable. Future results could differ from these estimates. Any revision to accounting estimates is recognized prospectively in the current and the future period.</w:t>
      </w:r>
    </w:p>
    <w:p w14:paraId="0AF46AA0" w14:textId="77777777" w:rsidR="00EF69F4" w:rsidRDefault="00EF69F4">
      <w:pPr>
        <w:jc w:val="both"/>
        <w:rPr>
          <w:rFonts w:ascii="Bookman Old Style" w:hAnsi="Bookman Old Style" w:cs="Times New Roman"/>
          <w:sz w:val="24"/>
          <w:szCs w:val="28"/>
        </w:rPr>
      </w:pPr>
    </w:p>
    <w:sectPr w:rsidR="00EF69F4" w:rsidSect="00843C28">
      <w:footerReference w:type="default" r:id="rId8"/>
      <w:pgSz w:w="12240" w:h="15840"/>
      <w:pgMar w:top="1440" w:right="1440" w:bottom="1440" w:left="1440" w:header="720" w:footer="252" w:gutter="0"/>
      <w:pgNumType w:start="7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8BF2C" w14:textId="77777777" w:rsidR="003B7868" w:rsidRDefault="003B7868" w:rsidP="00EF69F4">
      <w:pPr>
        <w:spacing w:after="0" w:line="240" w:lineRule="auto"/>
      </w:pPr>
      <w:r>
        <w:separator/>
      </w:r>
    </w:p>
  </w:endnote>
  <w:endnote w:type="continuationSeparator" w:id="0">
    <w:p w14:paraId="2769044E" w14:textId="77777777" w:rsidR="003B7868" w:rsidRDefault="003B7868" w:rsidP="00EF6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911128"/>
      <w:docPartObj>
        <w:docPartGallery w:val="Page Numbers (Bottom of Page)"/>
        <w:docPartUnique/>
      </w:docPartObj>
    </w:sdtPr>
    <w:sdtEndPr>
      <w:rPr>
        <w:noProof/>
      </w:rPr>
    </w:sdtEndPr>
    <w:sdtContent>
      <w:p w14:paraId="0406EA3B" w14:textId="044AD258" w:rsidR="004271AB" w:rsidRDefault="0073418E">
        <w:pPr>
          <w:pStyle w:val="Footer"/>
          <w:jc w:val="right"/>
        </w:pPr>
        <w:r>
          <w:fldChar w:fldCharType="begin"/>
        </w:r>
        <w:r w:rsidR="004271AB">
          <w:instrText xml:space="preserve"> PAGE   \* MERGEFORMAT </w:instrText>
        </w:r>
        <w:r>
          <w:fldChar w:fldCharType="separate"/>
        </w:r>
        <w:r w:rsidR="00405A80">
          <w:rPr>
            <w:noProof/>
          </w:rPr>
          <w:t>79</w:t>
        </w:r>
        <w:r>
          <w:rPr>
            <w:noProof/>
          </w:rPr>
          <w:fldChar w:fldCharType="end"/>
        </w:r>
      </w:p>
    </w:sdtContent>
  </w:sdt>
  <w:p w14:paraId="185489EA" w14:textId="77777777" w:rsidR="00EF69F4" w:rsidRDefault="00EF69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FDE23" w14:textId="77777777" w:rsidR="003B7868" w:rsidRDefault="003B7868" w:rsidP="00EF69F4">
      <w:pPr>
        <w:spacing w:after="0" w:line="240" w:lineRule="auto"/>
      </w:pPr>
      <w:r>
        <w:separator/>
      </w:r>
    </w:p>
  </w:footnote>
  <w:footnote w:type="continuationSeparator" w:id="0">
    <w:p w14:paraId="6FA7FDEC" w14:textId="77777777" w:rsidR="003B7868" w:rsidRDefault="003B7868" w:rsidP="00EF69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202AE"/>
    <w:multiLevelType w:val="multilevel"/>
    <w:tmpl w:val="03F202AE"/>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90E52E5"/>
    <w:multiLevelType w:val="multilevel"/>
    <w:tmpl w:val="190E52E5"/>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nsid w:val="1CC143E6"/>
    <w:multiLevelType w:val="multilevel"/>
    <w:tmpl w:val="1CC143E6"/>
    <w:lvl w:ilvl="0">
      <w:start w:val="1"/>
      <w:numFmt w:val="bullet"/>
      <w:lvlText w:val=""/>
      <w:lvlJc w:val="left"/>
      <w:pPr>
        <w:ind w:left="1117" w:hanging="360"/>
      </w:pPr>
      <w:rPr>
        <w:rFonts w:ascii="Wingdings" w:hAnsi="Wingdings" w:hint="default"/>
        <w:color w:val="auto"/>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3">
    <w:nsid w:val="2FFC0985"/>
    <w:multiLevelType w:val="multilevel"/>
    <w:tmpl w:val="2FFC0985"/>
    <w:lvl w:ilvl="0">
      <w:start w:val="1"/>
      <w:numFmt w:val="lowerRoman"/>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nsid w:val="368669EB"/>
    <w:multiLevelType w:val="multilevel"/>
    <w:tmpl w:val="368669EB"/>
    <w:lvl w:ilvl="0">
      <w:start w:val="1"/>
      <w:numFmt w:val="lowerRoman"/>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nsid w:val="3ADB2D38"/>
    <w:multiLevelType w:val="multilevel"/>
    <w:tmpl w:val="3ADB2D38"/>
    <w:lvl w:ilvl="0">
      <w:start w:val="3"/>
      <w:numFmt w:val="lowerRoman"/>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nsid w:val="3E841763"/>
    <w:multiLevelType w:val="multilevel"/>
    <w:tmpl w:val="3E841763"/>
    <w:lvl w:ilvl="0">
      <w:start w:val="1"/>
      <w:numFmt w:val="decimal"/>
      <w:lvlText w:val="%1."/>
      <w:lvlJc w:val="left"/>
      <w:pPr>
        <w:ind w:left="1320" w:hanging="360"/>
      </w:pPr>
      <w:rPr>
        <w:b/>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7">
    <w:nsid w:val="49A74FB3"/>
    <w:multiLevelType w:val="multilevel"/>
    <w:tmpl w:val="49A74FB3"/>
    <w:lvl w:ilvl="0">
      <w:start w:val="1"/>
      <w:numFmt w:val="upperLetter"/>
      <w:lvlText w:val="%1)"/>
      <w:lvlJc w:val="left"/>
      <w:pPr>
        <w:ind w:left="720" w:hanging="360"/>
      </w:pPr>
      <w:rPr>
        <w:rFonts w:hint="default"/>
        <w:i w:val="0"/>
      </w:rPr>
    </w:lvl>
    <w:lvl w:ilvl="1">
      <w:start w:val="1"/>
      <w:numFmt w:val="lowerRoman"/>
      <w:lvlText w:val="(%2)"/>
      <w:lvlJc w:val="left"/>
      <w:pPr>
        <w:ind w:left="1860" w:hanging="78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0C30ECB"/>
    <w:multiLevelType w:val="multilevel"/>
    <w:tmpl w:val="50C30ECB"/>
    <w:lvl w:ilvl="0">
      <w:start w:val="1"/>
      <w:numFmt w:val="bullet"/>
      <w:lvlText w:val=""/>
      <w:lvlJc w:val="left"/>
      <w:pPr>
        <w:ind w:left="2160" w:hanging="720"/>
      </w:pPr>
      <w:rPr>
        <w:rFonts w:ascii="Symbol" w:hAnsi="Symbol"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nsid w:val="79A459CB"/>
    <w:multiLevelType w:val="multilevel"/>
    <w:tmpl w:val="79A459CB"/>
    <w:lvl w:ilvl="0">
      <w:start w:val="1"/>
      <w:numFmt w:val="decimal"/>
      <w:lvlText w:val="%1)"/>
      <w:lvlJc w:val="left"/>
      <w:pPr>
        <w:ind w:left="1800" w:hanging="360"/>
      </w:pPr>
    </w:lvl>
    <w:lvl w:ilvl="1">
      <w:start w:val="1"/>
      <w:numFmt w:val="lowerLetter"/>
      <w:lvlText w:val="%2)"/>
      <w:lvlJc w:val="left"/>
      <w:pPr>
        <w:ind w:left="1890" w:hanging="360"/>
      </w:pPr>
    </w:lvl>
    <w:lvl w:ilvl="2">
      <w:start w:val="1"/>
      <w:numFmt w:val="lowerRoman"/>
      <w:lvlText w:val="%3)"/>
      <w:lvlJc w:val="left"/>
      <w:pPr>
        <w:ind w:left="2250" w:hanging="360"/>
      </w:pPr>
    </w:lvl>
    <w:lvl w:ilvl="3">
      <w:start w:val="1"/>
      <w:numFmt w:val="decimal"/>
      <w:lvlText w:val="(%4)"/>
      <w:lvlJc w:val="left"/>
      <w:pPr>
        <w:ind w:left="2610" w:hanging="360"/>
      </w:pPr>
    </w:lvl>
    <w:lvl w:ilvl="4">
      <w:start w:val="1"/>
      <w:numFmt w:val="lowerLetter"/>
      <w:lvlText w:val="(%5)"/>
      <w:lvlJc w:val="left"/>
      <w:pPr>
        <w:ind w:left="2970" w:hanging="360"/>
      </w:pPr>
    </w:lvl>
    <w:lvl w:ilvl="5">
      <w:start w:val="1"/>
      <w:numFmt w:val="lowerRoman"/>
      <w:lvlText w:val="(%6)"/>
      <w:lvlJc w:val="left"/>
      <w:pPr>
        <w:ind w:left="3330" w:hanging="360"/>
      </w:pPr>
    </w:lvl>
    <w:lvl w:ilvl="6">
      <w:start w:val="1"/>
      <w:numFmt w:val="decimal"/>
      <w:lvlText w:val="%7."/>
      <w:lvlJc w:val="left"/>
      <w:pPr>
        <w:ind w:left="3690" w:hanging="360"/>
      </w:pPr>
    </w:lvl>
    <w:lvl w:ilvl="7">
      <w:start w:val="1"/>
      <w:numFmt w:val="lowerLetter"/>
      <w:lvlText w:val="%8."/>
      <w:lvlJc w:val="left"/>
      <w:pPr>
        <w:ind w:left="4050" w:hanging="360"/>
      </w:pPr>
    </w:lvl>
    <w:lvl w:ilvl="8">
      <w:start w:val="1"/>
      <w:numFmt w:val="lowerRoman"/>
      <w:lvlText w:val="%9."/>
      <w:lvlJc w:val="left"/>
      <w:pPr>
        <w:ind w:left="4410" w:hanging="360"/>
      </w:pPr>
    </w:lvl>
  </w:abstractNum>
  <w:num w:numId="1">
    <w:abstractNumId w:val="2"/>
  </w:num>
  <w:num w:numId="2">
    <w:abstractNumId w:val="6"/>
  </w:num>
  <w:num w:numId="3">
    <w:abstractNumId w:val="7"/>
  </w:num>
  <w:num w:numId="4">
    <w:abstractNumId w:val="0"/>
  </w:num>
  <w:num w:numId="5">
    <w:abstractNumId w:val="1"/>
  </w:num>
  <w:num w:numId="6">
    <w:abstractNumId w:val="4"/>
  </w:num>
  <w:num w:numId="7">
    <w:abstractNumId w:val="5"/>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07149"/>
    <w:rsid w:val="000053A2"/>
    <w:rsid w:val="00005788"/>
    <w:rsid w:val="000065D0"/>
    <w:rsid w:val="00046514"/>
    <w:rsid w:val="00047765"/>
    <w:rsid w:val="00052709"/>
    <w:rsid w:val="000644AE"/>
    <w:rsid w:val="00065316"/>
    <w:rsid w:val="0008740D"/>
    <w:rsid w:val="000909BB"/>
    <w:rsid w:val="000928C7"/>
    <w:rsid w:val="00096A9B"/>
    <w:rsid w:val="000A0040"/>
    <w:rsid w:val="000A21D0"/>
    <w:rsid w:val="00100AF4"/>
    <w:rsid w:val="00107149"/>
    <w:rsid w:val="00107B44"/>
    <w:rsid w:val="0011021E"/>
    <w:rsid w:val="00114A9A"/>
    <w:rsid w:val="00116B17"/>
    <w:rsid w:val="001314C9"/>
    <w:rsid w:val="00132C5F"/>
    <w:rsid w:val="00132F88"/>
    <w:rsid w:val="0013489C"/>
    <w:rsid w:val="001447ED"/>
    <w:rsid w:val="001526E4"/>
    <w:rsid w:val="001539FA"/>
    <w:rsid w:val="00156183"/>
    <w:rsid w:val="00182FC9"/>
    <w:rsid w:val="001A3E4B"/>
    <w:rsid w:val="001B4A9B"/>
    <w:rsid w:val="001D00C9"/>
    <w:rsid w:val="001D122E"/>
    <w:rsid w:val="001D4628"/>
    <w:rsid w:val="001E71C6"/>
    <w:rsid w:val="001F11B9"/>
    <w:rsid w:val="002215DA"/>
    <w:rsid w:val="00240457"/>
    <w:rsid w:val="002415F4"/>
    <w:rsid w:val="00242709"/>
    <w:rsid w:val="002479A1"/>
    <w:rsid w:val="00250F1C"/>
    <w:rsid w:val="00251457"/>
    <w:rsid w:val="002528CC"/>
    <w:rsid w:val="002819AC"/>
    <w:rsid w:val="002954AF"/>
    <w:rsid w:val="002A3A1A"/>
    <w:rsid w:val="002C2E0B"/>
    <w:rsid w:val="002E6741"/>
    <w:rsid w:val="00315676"/>
    <w:rsid w:val="00330F81"/>
    <w:rsid w:val="003636C6"/>
    <w:rsid w:val="003708A2"/>
    <w:rsid w:val="00380031"/>
    <w:rsid w:val="00385165"/>
    <w:rsid w:val="00390D64"/>
    <w:rsid w:val="003B49F6"/>
    <w:rsid w:val="003B7868"/>
    <w:rsid w:val="003D4360"/>
    <w:rsid w:val="0040252D"/>
    <w:rsid w:val="00405A80"/>
    <w:rsid w:val="004271AB"/>
    <w:rsid w:val="00430B44"/>
    <w:rsid w:val="00457758"/>
    <w:rsid w:val="00457EDA"/>
    <w:rsid w:val="00465082"/>
    <w:rsid w:val="0047523A"/>
    <w:rsid w:val="004777C3"/>
    <w:rsid w:val="00481EA9"/>
    <w:rsid w:val="00487017"/>
    <w:rsid w:val="00495A6C"/>
    <w:rsid w:val="004A685A"/>
    <w:rsid w:val="004C40D0"/>
    <w:rsid w:val="004C61DE"/>
    <w:rsid w:val="004D6F13"/>
    <w:rsid w:val="004E59CE"/>
    <w:rsid w:val="00510965"/>
    <w:rsid w:val="00513D80"/>
    <w:rsid w:val="00516D59"/>
    <w:rsid w:val="0056057D"/>
    <w:rsid w:val="00563E6C"/>
    <w:rsid w:val="00566C6E"/>
    <w:rsid w:val="00592A36"/>
    <w:rsid w:val="00592F0F"/>
    <w:rsid w:val="005A0F48"/>
    <w:rsid w:val="005B4E90"/>
    <w:rsid w:val="005C1145"/>
    <w:rsid w:val="005D25A4"/>
    <w:rsid w:val="005F71D7"/>
    <w:rsid w:val="006065E8"/>
    <w:rsid w:val="0061220F"/>
    <w:rsid w:val="00632EB6"/>
    <w:rsid w:val="00636E61"/>
    <w:rsid w:val="00674307"/>
    <w:rsid w:val="0069499D"/>
    <w:rsid w:val="006A1C4E"/>
    <w:rsid w:val="006A3934"/>
    <w:rsid w:val="006B130F"/>
    <w:rsid w:val="006D232F"/>
    <w:rsid w:val="006D50C9"/>
    <w:rsid w:val="006D66EF"/>
    <w:rsid w:val="006E6524"/>
    <w:rsid w:val="0070109A"/>
    <w:rsid w:val="00712BD3"/>
    <w:rsid w:val="00726BC9"/>
    <w:rsid w:val="0073418E"/>
    <w:rsid w:val="00735367"/>
    <w:rsid w:val="00740745"/>
    <w:rsid w:val="007407EC"/>
    <w:rsid w:val="007551A4"/>
    <w:rsid w:val="00763FC6"/>
    <w:rsid w:val="00780E2D"/>
    <w:rsid w:val="0079629D"/>
    <w:rsid w:val="0079744E"/>
    <w:rsid w:val="007B1929"/>
    <w:rsid w:val="007B34AC"/>
    <w:rsid w:val="007C413A"/>
    <w:rsid w:val="007C799D"/>
    <w:rsid w:val="007F042F"/>
    <w:rsid w:val="007F5B13"/>
    <w:rsid w:val="0083404D"/>
    <w:rsid w:val="00843C28"/>
    <w:rsid w:val="00847120"/>
    <w:rsid w:val="00873F90"/>
    <w:rsid w:val="008C0356"/>
    <w:rsid w:val="008D3264"/>
    <w:rsid w:val="008D7057"/>
    <w:rsid w:val="008E29CB"/>
    <w:rsid w:val="00925A7B"/>
    <w:rsid w:val="00956FCF"/>
    <w:rsid w:val="00984D11"/>
    <w:rsid w:val="009A40AB"/>
    <w:rsid w:val="009C3369"/>
    <w:rsid w:val="009D5711"/>
    <w:rsid w:val="009E0201"/>
    <w:rsid w:val="009E2FF6"/>
    <w:rsid w:val="009E4315"/>
    <w:rsid w:val="009F2E93"/>
    <w:rsid w:val="00A0080B"/>
    <w:rsid w:val="00A00BCB"/>
    <w:rsid w:val="00A33C04"/>
    <w:rsid w:val="00A60200"/>
    <w:rsid w:val="00A75298"/>
    <w:rsid w:val="00A93388"/>
    <w:rsid w:val="00AA1658"/>
    <w:rsid w:val="00AE076A"/>
    <w:rsid w:val="00AF20A2"/>
    <w:rsid w:val="00AF6F1D"/>
    <w:rsid w:val="00B148BB"/>
    <w:rsid w:val="00B22021"/>
    <w:rsid w:val="00B301A2"/>
    <w:rsid w:val="00B47B7E"/>
    <w:rsid w:val="00B75F5D"/>
    <w:rsid w:val="00B844E7"/>
    <w:rsid w:val="00B904AB"/>
    <w:rsid w:val="00B97AC3"/>
    <w:rsid w:val="00BC6EDF"/>
    <w:rsid w:val="00BD5C88"/>
    <w:rsid w:val="00BE5D2B"/>
    <w:rsid w:val="00BF1B38"/>
    <w:rsid w:val="00BF2234"/>
    <w:rsid w:val="00BF5F4F"/>
    <w:rsid w:val="00C463D5"/>
    <w:rsid w:val="00C55984"/>
    <w:rsid w:val="00C61F98"/>
    <w:rsid w:val="00C70DFA"/>
    <w:rsid w:val="00C81CB9"/>
    <w:rsid w:val="00C8203A"/>
    <w:rsid w:val="00C9059B"/>
    <w:rsid w:val="00CA1C4D"/>
    <w:rsid w:val="00CA2422"/>
    <w:rsid w:val="00CC2B74"/>
    <w:rsid w:val="00CC43D7"/>
    <w:rsid w:val="00CC5D92"/>
    <w:rsid w:val="00D02CC5"/>
    <w:rsid w:val="00D05376"/>
    <w:rsid w:val="00D06D63"/>
    <w:rsid w:val="00D111DA"/>
    <w:rsid w:val="00D167D2"/>
    <w:rsid w:val="00D4020D"/>
    <w:rsid w:val="00D43E5E"/>
    <w:rsid w:val="00D53634"/>
    <w:rsid w:val="00D61D3C"/>
    <w:rsid w:val="00D74F75"/>
    <w:rsid w:val="00D81915"/>
    <w:rsid w:val="00D87434"/>
    <w:rsid w:val="00D908AC"/>
    <w:rsid w:val="00D9284F"/>
    <w:rsid w:val="00DA3369"/>
    <w:rsid w:val="00DA3F67"/>
    <w:rsid w:val="00DB162D"/>
    <w:rsid w:val="00DB47D0"/>
    <w:rsid w:val="00DB68B4"/>
    <w:rsid w:val="00DB7A1C"/>
    <w:rsid w:val="00DF07C5"/>
    <w:rsid w:val="00DF43BE"/>
    <w:rsid w:val="00DF57B8"/>
    <w:rsid w:val="00E30E23"/>
    <w:rsid w:val="00E33693"/>
    <w:rsid w:val="00E4580B"/>
    <w:rsid w:val="00E471F0"/>
    <w:rsid w:val="00E5245F"/>
    <w:rsid w:val="00E56DF0"/>
    <w:rsid w:val="00E72404"/>
    <w:rsid w:val="00E90709"/>
    <w:rsid w:val="00E96FCD"/>
    <w:rsid w:val="00EA034C"/>
    <w:rsid w:val="00EA2483"/>
    <w:rsid w:val="00EB3A91"/>
    <w:rsid w:val="00EB758B"/>
    <w:rsid w:val="00ED001B"/>
    <w:rsid w:val="00EE48E0"/>
    <w:rsid w:val="00EE55A9"/>
    <w:rsid w:val="00EF4AC7"/>
    <w:rsid w:val="00EF69F4"/>
    <w:rsid w:val="00F11984"/>
    <w:rsid w:val="00F33273"/>
    <w:rsid w:val="00F337EF"/>
    <w:rsid w:val="00F46EEC"/>
    <w:rsid w:val="00F721BE"/>
    <w:rsid w:val="00F743AE"/>
    <w:rsid w:val="00F8084C"/>
    <w:rsid w:val="00F903AD"/>
    <w:rsid w:val="00F91609"/>
    <w:rsid w:val="00F93C98"/>
    <w:rsid w:val="00F968B2"/>
    <w:rsid w:val="00FB1FBC"/>
    <w:rsid w:val="00FD4A77"/>
    <w:rsid w:val="307D1C8B"/>
    <w:rsid w:val="3C6150EA"/>
    <w:rsid w:val="61F40E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E5108"/>
  <w15:docId w15:val="{7D3EA332-1543-48F9-9FC9-6ED7B3E16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9F4"/>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rsid w:val="00EF69F4"/>
  </w:style>
  <w:style w:type="paragraph" w:styleId="Footer">
    <w:name w:val="footer"/>
    <w:basedOn w:val="Normal"/>
    <w:link w:val="FooterChar"/>
    <w:uiPriority w:val="99"/>
    <w:unhideWhenUsed/>
    <w:rsid w:val="00EF69F4"/>
    <w:pPr>
      <w:tabs>
        <w:tab w:val="center" w:pos="4680"/>
        <w:tab w:val="right" w:pos="9360"/>
      </w:tabs>
      <w:spacing w:after="0" w:line="240" w:lineRule="auto"/>
    </w:pPr>
  </w:style>
  <w:style w:type="paragraph" w:styleId="Header">
    <w:name w:val="header"/>
    <w:basedOn w:val="Normal"/>
    <w:link w:val="HeaderChar"/>
    <w:uiPriority w:val="99"/>
    <w:unhideWhenUsed/>
    <w:rsid w:val="00EF69F4"/>
    <w:pPr>
      <w:tabs>
        <w:tab w:val="center" w:pos="4680"/>
        <w:tab w:val="right" w:pos="9360"/>
      </w:tabs>
      <w:spacing w:after="0" w:line="240" w:lineRule="auto"/>
    </w:pPr>
  </w:style>
  <w:style w:type="table" w:styleId="TableGrid">
    <w:name w:val="Table Grid"/>
    <w:basedOn w:val="TableNormal"/>
    <w:uiPriority w:val="59"/>
    <w:rsid w:val="00EF69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9F4"/>
    <w:pPr>
      <w:ind w:left="720"/>
      <w:contextualSpacing/>
    </w:pPr>
  </w:style>
  <w:style w:type="character" w:customStyle="1" w:styleId="FooterChar">
    <w:name w:val="Footer Char"/>
    <w:basedOn w:val="DefaultParagraphFont"/>
    <w:link w:val="Footer"/>
    <w:uiPriority w:val="99"/>
    <w:rsid w:val="00EF69F4"/>
  </w:style>
  <w:style w:type="character" w:customStyle="1" w:styleId="HeaderChar">
    <w:name w:val="Header Char"/>
    <w:basedOn w:val="DefaultParagraphFont"/>
    <w:link w:val="Header"/>
    <w:uiPriority w:val="99"/>
    <w:rsid w:val="00EF69F4"/>
  </w:style>
  <w:style w:type="paragraph" w:styleId="BalloonText">
    <w:name w:val="Balloon Text"/>
    <w:basedOn w:val="Normal"/>
    <w:link w:val="BalloonTextChar"/>
    <w:uiPriority w:val="99"/>
    <w:semiHidden/>
    <w:unhideWhenUsed/>
    <w:rsid w:val="001348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89C"/>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alavaladhy aeebee</dc:creator>
  <cp:lastModifiedBy>user</cp:lastModifiedBy>
  <cp:revision>104</cp:revision>
  <cp:lastPrinted>2022-12-06T07:46:00Z</cp:lastPrinted>
  <dcterms:created xsi:type="dcterms:W3CDTF">2018-02-26T16:11:00Z</dcterms:created>
  <dcterms:modified xsi:type="dcterms:W3CDTF">2022-12-06T11:09:00Z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